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4992" w:type="dxa"/>
        <w:tblLayout w:type="fixed"/>
        <w:tblLook w:val="04A0"/>
      </w:tblPr>
      <w:tblGrid>
        <w:gridCol w:w="2376"/>
        <w:gridCol w:w="1843"/>
        <w:gridCol w:w="2268"/>
        <w:gridCol w:w="2693"/>
        <w:gridCol w:w="1612"/>
        <w:gridCol w:w="1582"/>
        <w:gridCol w:w="2618"/>
      </w:tblGrid>
      <w:tr w:rsidR="00DC7BE7" w:rsidRPr="00B4584E" w:rsidTr="00DC7BE7">
        <w:tc>
          <w:tcPr>
            <w:tcW w:w="2376" w:type="dxa"/>
            <w:vMerge w:val="restart"/>
            <w:vAlign w:val="center"/>
          </w:tcPr>
          <w:p w:rsidR="00DC7BE7" w:rsidRPr="00B4584E" w:rsidRDefault="00DC7BE7" w:rsidP="00DC7BE7">
            <w:pPr>
              <w:rPr>
                <w:rFonts w:ascii="Bookman Old Style" w:hAnsi="Bookman Old Style"/>
                <w:b/>
                <w:lang w:val="uk-UA"/>
              </w:rPr>
            </w:pPr>
            <w:r w:rsidRPr="005E51C5">
              <w:rPr>
                <w:rFonts w:ascii="Book Antiqua" w:hAnsi="Book Antiqua"/>
                <w:lang w:val="uk-UA"/>
              </w:rPr>
              <w:t>Таблиця №</w:t>
            </w:r>
            <w:r>
              <w:rPr>
                <w:rFonts w:ascii="Book Antiqua" w:hAnsi="Book Antiqua"/>
                <w:lang w:val="en-US"/>
              </w:rPr>
              <w:t>10</w:t>
            </w:r>
          </w:p>
        </w:tc>
        <w:tc>
          <w:tcPr>
            <w:tcW w:w="12616" w:type="dxa"/>
            <w:gridSpan w:val="6"/>
          </w:tcPr>
          <w:p w:rsidR="00DC7BE7" w:rsidRDefault="00DC7BE7" w:rsidP="00DC7BE7">
            <w:pPr>
              <w:jc w:val="center"/>
              <w:rPr>
                <w:rFonts w:ascii="Bookman Old Style" w:hAnsi="Bookman Old Style"/>
                <w:b/>
                <w:lang w:val="en-US"/>
              </w:rPr>
            </w:pPr>
            <w:r w:rsidRPr="00B4584E">
              <w:rPr>
                <w:rFonts w:ascii="Bookman Old Style" w:hAnsi="Bookman Old Style"/>
                <w:b/>
                <w:lang w:val="uk-UA"/>
              </w:rPr>
              <w:t>ПЕРЕГЛЯД СУДОВИХ РІШЕНЬ:</w:t>
            </w:r>
          </w:p>
          <w:p w:rsidR="00DC7BE7" w:rsidRPr="00B4584E" w:rsidRDefault="00DC7BE7" w:rsidP="00DC7BE7">
            <w:pPr>
              <w:jc w:val="center"/>
              <w:rPr>
                <w:rFonts w:ascii="Bookman Old Style" w:hAnsi="Bookman Old Style"/>
                <w:b/>
                <w:lang w:val="uk-UA"/>
              </w:rPr>
            </w:pPr>
            <w:r w:rsidRPr="00B4584E">
              <w:rPr>
                <w:rFonts w:ascii="Bookman Old Style" w:hAnsi="Bookman Old Style"/>
                <w:b/>
                <w:lang w:val="uk-UA"/>
              </w:rPr>
              <w:t>основні новели перегляду судових рішень за нововияленими та виключними підставами</w:t>
            </w:r>
          </w:p>
        </w:tc>
      </w:tr>
      <w:tr w:rsidR="00DC7BE7" w:rsidRPr="00B4584E" w:rsidTr="00DC7BE7">
        <w:tc>
          <w:tcPr>
            <w:tcW w:w="2376" w:type="dxa"/>
            <w:vMerge/>
            <w:vAlign w:val="center"/>
          </w:tcPr>
          <w:p w:rsidR="00DC7BE7" w:rsidRPr="00B4584E" w:rsidRDefault="00DC7BE7" w:rsidP="00DC7BE7">
            <w:pPr>
              <w:rPr>
                <w:rFonts w:ascii="Bookman Old Style" w:hAnsi="Bookman Old Style"/>
                <w:b/>
                <w:lang w:val="uk-UA"/>
              </w:rPr>
            </w:pPr>
          </w:p>
        </w:tc>
        <w:tc>
          <w:tcPr>
            <w:tcW w:w="6804" w:type="dxa"/>
            <w:gridSpan w:val="3"/>
          </w:tcPr>
          <w:p w:rsidR="00DC7BE7" w:rsidRPr="00B4584E" w:rsidRDefault="00DC7BE7" w:rsidP="00312A34">
            <w:pPr>
              <w:jc w:val="center"/>
              <w:rPr>
                <w:rFonts w:ascii="Bookman Old Style" w:hAnsi="Bookman Old Style"/>
                <w:i/>
                <w:lang w:val="uk-UA"/>
              </w:rPr>
            </w:pPr>
            <w:r w:rsidRPr="00B4584E">
              <w:rPr>
                <w:rFonts w:ascii="Bookman Old Style" w:hAnsi="Bookman Old Style"/>
                <w:i/>
                <w:lang w:val="uk-UA"/>
              </w:rPr>
              <w:t>Було</w:t>
            </w:r>
          </w:p>
        </w:tc>
        <w:tc>
          <w:tcPr>
            <w:tcW w:w="5812" w:type="dxa"/>
            <w:gridSpan w:val="3"/>
          </w:tcPr>
          <w:p w:rsidR="00DC7BE7" w:rsidRPr="00B4584E" w:rsidRDefault="00DC7BE7" w:rsidP="00312A34">
            <w:pPr>
              <w:jc w:val="center"/>
              <w:rPr>
                <w:rFonts w:ascii="Bookman Old Style" w:hAnsi="Bookman Old Style"/>
                <w:i/>
                <w:lang w:val="uk-UA"/>
              </w:rPr>
            </w:pPr>
            <w:r w:rsidRPr="00B4584E">
              <w:rPr>
                <w:rFonts w:ascii="Bookman Old Style" w:hAnsi="Bookman Old Style"/>
                <w:i/>
                <w:lang w:val="uk-UA"/>
              </w:rPr>
              <w:t>Стало</w:t>
            </w:r>
          </w:p>
        </w:tc>
      </w:tr>
      <w:tr w:rsidR="00DC7BE7" w:rsidRPr="00B4584E" w:rsidTr="00DC7BE7">
        <w:tc>
          <w:tcPr>
            <w:tcW w:w="2376" w:type="dxa"/>
            <w:vMerge/>
            <w:vAlign w:val="center"/>
          </w:tcPr>
          <w:p w:rsidR="00DC7BE7" w:rsidRPr="00B4584E" w:rsidRDefault="00DC7BE7" w:rsidP="00DC7BE7">
            <w:pPr>
              <w:rPr>
                <w:rFonts w:ascii="Bookman Old Style" w:hAnsi="Bookman Old Style"/>
                <w:lang w:val="uk-UA"/>
              </w:rPr>
            </w:pPr>
          </w:p>
        </w:tc>
        <w:tc>
          <w:tcPr>
            <w:tcW w:w="1843" w:type="dxa"/>
          </w:tcPr>
          <w:p w:rsidR="00DC7BE7" w:rsidRPr="00B4584E" w:rsidRDefault="00DC7BE7" w:rsidP="00312A34">
            <w:pPr>
              <w:jc w:val="center"/>
              <w:rPr>
                <w:rFonts w:ascii="Bookman Old Style" w:hAnsi="Bookman Old Style"/>
                <w:lang w:val="uk-UA"/>
              </w:rPr>
            </w:pPr>
            <w:r w:rsidRPr="00B4584E">
              <w:rPr>
                <w:rFonts w:ascii="Bookman Old Style" w:hAnsi="Bookman Old Style"/>
                <w:lang w:val="uk-UA"/>
              </w:rPr>
              <w:t>ГПК</w:t>
            </w:r>
          </w:p>
        </w:tc>
        <w:tc>
          <w:tcPr>
            <w:tcW w:w="2268" w:type="dxa"/>
          </w:tcPr>
          <w:p w:rsidR="00DC7BE7" w:rsidRPr="00B4584E" w:rsidRDefault="00DC7BE7" w:rsidP="00312A34">
            <w:pPr>
              <w:ind w:firstLine="34"/>
              <w:jc w:val="center"/>
              <w:rPr>
                <w:rFonts w:ascii="Bookman Old Style" w:hAnsi="Bookman Old Style"/>
                <w:lang w:val="uk-UA"/>
              </w:rPr>
            </w:pPr>
            <w:r w:rsidRPr="00B4584E">
              <w:rPr>
                <w:rFonts w:ascii="Bookman Old Style" w:hAnsi="Bookman Old Style"/>
                <w:lang w:val="uk-UA"/>
              </w:rPr>
              <w:t>ЦПК</w:t>
            </w:r>
          </w:p>
        </w:tc>
        <w:tc>
          <w:tcPr>
            <w:tcW w:w="2693" w:type="dxa"/>
          </w:tcPr>
          <w:p w:rsidR="00DC7BE7" w:rsidRPr="00B4584E" w:rsidRDefault="00DC7BE7" w:rsidP="00312A34">
            <w:pPr>
              <w:jc w:val="center"/>
              <w:rPr>
                <w:rFonts w:ascii="Bookman Old Style" w:hAnsi="Bookman Old Style"/>
                <w:lang w:val="uk-UA"/>
              </w:rPr>
            </w:pPr>
            <w:r w:rsidRPr="00B4584E">
              <w:rPr>
                <w:rFonts w:ascii="Bookman Old Style" w:hAnsi="Bookman Old Style"/>
                <w:lang w:val="uk-UA"/>
              </w:rPr>
              <w:t>КАСУ</w:t>
            </w:r>
          </w:p>
        </w:tc>
        <w:tc>
          <w:tcPr>
            <w:tcW w:w="1612" w:type="dxa"/>
          </w:tcPr>
          <w:p w:rsidR="00DC7BE7" w:rsidRPr="00B4584E" w:rsidRDefault="00DC7BE7" w:rsidP="00312A34">
            <w:pPr>
              <w:jc w:val="center"/>
              <w:rPr>
                <w:rFonts w:ascii="Bookman Old Style" w:hAnsi="Bookman Old Style"/>
                <w:lang w:val="uk-UA"/>
              </w:rPr>
            </w:pPr>
            <w:r w:rsidRPr="00B4584E">
              <w:rPr>
                <w:rFonts w:ascii="Bookman Old Style" w:hAnsi="Bookman Old Style"/>
                <w:lang w:val="uk-UA"/>
              </w:rPr>
              <w:t>ГПК</w:t>
            </w:r>
          </w:p>
        </w:tc>
        <w:tc>
          <w:tcPr>
            <w:tcW w:w="1582" w:type="dxa"/>
          </w:tcPr>
          <w:p w:rsidR="00DC7BE7" w:rsidRPr="00B4584E" w:rsidRDefault="00DC7BE7" w:rsidP="00312A34">
            <w:pPr>
              <w:jc w:val="center"/>
              <w:rPr>
                <w:rFonts w:ascii="Bookman Old Style" w:hAnsi="Bookman Old Style"/>
                <w:lang w:val="uk-UA"/>
              </w:rPr>
            </w:pPr>
            <w:r w:rsidRPr="00B4584E">
              <w:rPr>
                <w:rFonts w:ascii="Bookman Old Style" w:hAnsi="Bookman Old Style"/>
                <w:lang w:val="uk-UA"/>
              </w:rPr>
              <w:t>ЦПК</w:t>
            </w:r>
          </w:p>
        </w:tc>
        <w:tc>
          <w:tcPr>
            <w:tcW w:w="2618" w:type="dxa"/>
          </w:tcPr>
          <w:p w:rsidR="00DC7BE7" w:rsidRPr="00B4584E" w:rsidRDefault="00DC7BE7" w:rsidP="00312A34">
            <w:pPr>
              <w:jc w:val="center"/>
              <w:rPr>
                <w:rFonts w:ascii="Bookman Old Style" w:hAnsi="Bookman Old Style"/>
                <w:lang w:val="uk-UA"/>
              </w:rPr>
            </w:pPr>
            <w:r w:rsidRPr="00B4584E">
              <w:rPr>
                <w:rFonts w:ascii="Bookman Old Style" w:hAnsi="Bookman Old Style"/>
                <w:lang w:val="uk-UA"/>
              </w:rPr>
              <w:t>КАСУ</w:t>
            </w:r>
          </w:p>
        </w:tc>
      </w:tr>
      <w:tr w:rsidR="00DC7BE7" w:rsidRPr="001E05B0" w:rsidTr="00DC7BE7">
        <w:trPr>
          <w:trHeight w:val="3285"/>
        </w:trPr>
        <w:tc>
          <w:tcPr>
            <w:tcW w:w="2376" w:type="dxa"/>
            <w:vAlign w:val="center"/>
          </w:tcPr>
          <w:p w:rsidR="00DC7BE7" w:rsidRPr="00B4584E" w:rsidRDefault="00DC7BE7" w:rsidP="00DC7BE7">
            <w:pPr>
              <w:rPr>
                <w:rFonts w:ascii="Bookman Old Style" w:hAnsi="Bookman Old Style"/>
                <w:b/>
                <w:lang w:val="uk-UA"/>
              </w:rPr>
            </w:pPr>
            <w:r w:rsidRPr="00B4584E">
              <w:rPr>
                <w:rFonts w:ascii="Bookman Old Style" w:hAnsi="Bookman Old Style"/>
                <w:b/>
                <w:lang w:val="uk-UA"/>
              </w:rPr>
              <w:t>Обмеження в розгляді справ за нововияленими (виключними) обставинами</w:t>
            </w:r>
          </w:p>
        </w:tc>
        <w:tc>
          <w:tcPr>
            <w:tcW w:w="1843" w:type="dxa"/>
            <w:vAlign w:val="center"/>
          </w:tcPr>
          <w:p w:rsidR="00DC7BE7" w:rsidRPr="00B4584E" w:rsidRDefault="00DC7BE7" w:rsidP="00DC7BE7">
            <w:pPr>
              <w:rPr>
                <w:rFonts w:ascii="Bookman Old Style" w:hAnsi="Bookman Old Style"/>
                <w:lang w:val="uk-UA"/>
              </w:rPr>
            </w:pPr>
          </w:p>
        </w:tc>
        <w:tc>
          <w:tcPr>
            <w:tcW w:w="2268" w:type="dxa"/>
            <w:vAlign w:val="center"/>
          </w:tcPr>
          <w:p w:rsidR="00DC7BE7" w:rsidRPr="00B4584E" w:rsidRDefault="00DC7BE7" w:rsidP="00DC7BE7">
            <w:pPr>
              <w:rPr>
                <w:rFonts w:ascii="Bookman Old Style" w:hAnsi="Bookman Old Style"/>
                <w:lang w:val="uk-UA"/>
              </w:rPr>
            </w:pPr>
          </w:p>
        </w:tc>
        <w:tc>
          <w:tcPr>
            <w:tcW w:w="2693" w:type="dxa"/>
            <w:vAlign w:val="center"/>
          </w:tcPr>
          <w:p w:rsidR="00DC7BE7" w:rsidRPr="00B4584E" w:rsidRDefault="00DC7BE7" w:rsidP="00DC7BE7">
            <w:pPr>
              <w:rPr>
                <w:rFonts w:ascii="Bookman Old Style" w:hAnsi="Bookman Old Style"/>
                <w:sz w:val="18"/>
                <w:szCs w:val="18"/>
                <w:lang w:val="uk-UA"/>
              </w:rPr>
            </w:pPr>
            <w:r w:rsidRPr="00B4584E">
              <w:rPr>
                <w:rFonts w:ascii="Bookman Old Style" w:hAnsi="Bookman Old Style"/>
                <w:sz w:val="18"/>
                <w:szCs w:val="18"/>
                <w:lang w:val="uk-UA"/>
              </w:rPr>
              <w:t>Перегляд судових рішень за нововиявленими обставинами в разі прийняття нових законів, інших нормативно-правових актів, якими скасовані закони та інші нормативно-правові акти, що діяли на час розгляду справи, не допускається, крім випадків, коли вони пом'якшують або скасовують відповідальність фізичної особи.</w:t>
            </w:r>
          </w:p>
        </w:tc>
        <w:tc>
          <w:tcPr>
            <w:tcW w:w="5812" w:type="dxa"/>
            <w:gridSpan w:val="3"/>
            <w:vAlign w:val="center"/>
          </w:tcPr>
          <w:p w:rsidR="00DC7BE7" w:rsidRPr="001E05B0" w:rsidRDefault="00DC7BE7" w:rsidP="00DC7BE7">
            <w:pPr>
              <w:rPr>
                <w:rFonts w:ascii="Bookman Old Style" w:hAnsi="Bookman Old Style"/>
                <w:sz w:val="18"/>
                <w:szCs w:val="18"/>
                <w:lang w:val="uk-UA"/>
              </w:rPr>
            </w:pPr>
            <w:r w:rsidRPr="001E05B0">
              <w:rPr>
                <w:rFonts w:ascii="Bookman Old Style" w:hAnsi="Bookman Old Style"/>
                <w:sz w:val="18"/>
                <w:szCs w:val="18"/>
                <w:lang w:val="uk-UA"/>
              </w:rPr>
              <w:t>Не є підставою для перегляду рішення суду за нововиявленими обставинами:</w:t>
            </w:r>
          </w:p>
          <w:p w:rsidR="00DC7BE7" w:rsidRPr="001E05B0" w:rsidRDefault="00DC7BE7" w:rsidP="00DC7BE7">
            <w:pPr>
              <w:rPr>
                <w:rFonts w:ascii="Bookman Old Style" w:hAnsi="Bookman Old Style"/>
                <w:sz w:val="18"/>
                <w:szCs w:val="18"/>
                <w:lang w:val="uk-UA"/>
              </w:rPr>
            </w:pPr>
            <w:r w:rsidRPr="001E05B0">
              <w:rPr>
                <w:rFonts w:ascii="Bookman Old Style" w:hAnsi="Bookman Old Style"/>
                <w:sz w:val="18"/>
                <w:szCs w:val="18"/>
                <w:lang w:val="uk-UA"/>
              </w:rPr>
              <w:t>1) переоцінка доказів, оцінених судом у процесі розгляду справи;</w:t>
            </w:r>
          </w:p>
          <w:p w:rsidR="00DC7BE7" w:rsidRPr="001E05B0" w:rsidRDefault="00DC7BE7" w:rsidP="00DC7BE7">
            <w:pPr>
              <w:rPr>
                <w:rFonts w:ascii="Bookman Old Style" w:hAnsi="Bookman Old Style"/>
                <w:sz w:val="18"/>
                <w:szCs w:val="18"/>
                <w:lang w:val="uk-UA"/>
              </w:rPr>
            </w:pPr>
            <w:r w:rsidRPr="001E05B0">
              <w:rPr>
                <w:rFonts w:ascii="Bookman Old Style" w:hAnsi="Bookman Old Style"/>
                <w:sz w:val="18"/>
                <w:szCs w:val="18"/>
                <w:lang w:val="uk-UA"/>
              </w:rPr>
              <w:t>2) докази, які не оцінювалися судом, стосовно обставин, що були встановлені судом.</w:t>
            </w:r>
          </w:p>
          <w:p w:rsidR="00DC7BE7" w:rsidRDefault="00DC7BE7" w:rsidP="00DC7BE7">
            <w:pPr>
              <w:rPr>
                <w:rFonts w:ascii="Bookman Old Style" w:hAnsi="Bookman Old Style"/>
                <w:sz w:val="18"/>
                <w:szCs w:val="18"/>
                <w:lang w:val="uk-UA"/>
              </w:rPr>
            </w:pPr>
            <w:r w:rsidRPr="001E05B0">
              <w:rPr>
                <w:rFonts w:ascii="Bookman Old Style" w:hAnsi="Bookman Old Style"/>
                <w:sz w:val="18"/>
                <w:szCs w:val="18"/>
                <w:lang w:val="uk-UA"/>
              </w:rPr>
              <w:t>При перегляді судового рішення за нововиявленими або виключними обставинами суд не може виходити за межі тих вимог, які були предметом розгляду при ухваленні судового рішення, яке переглядається, розглядати інші вимоги або інші підстави позову.</w:t>
            </w:r>
          </w:p>
          <w:p w:rsidR="00DC7BE7" w:rsidRDefault="00DC7BE7" w:rsidP="00DC7BE7">
            <w:pPr>
              <w:rPr>
                <w:rFonts w:ascii="Bookman Old Style" w:hAnsi="Bookman Old Style"/>
                <w:sz w:val="18"/>
                <w:szCs w:val="18"/>
                <w:lang w:val="uk-UA"/>
              </w:rPr>
            </w:pPr>
            <w:r w:rsidRPr="00B4584E">
              <w:rPr>
                <w:rFonts w:ascii="Bookman Old Style" w:hAnsi="Bookman Old Style"/>
                <w:sz w:val="18"/>
                <w:szCs w:val="18"/>
                <w:lang w:val="uk-UA"/>
              </w:rPr>
              <w:t>Перегляд судових рішень за ново</w:t>
            </w:r>
          </w:p>
          <w:p w:rsidR="00DC7BE7" w:rsidRPr="001E05B0" w:rsidRDefault="00DC7BE7" w:rsidP="00DC7BE7">
            <w:pPr>
              <w:rPr>
                <w:rFonts w:ascii="Bookman Old Style" w:hAnsi="Bookman Old Style"/>
                <w:lang w:val="uk-UA"/>
              </w:rPr>
            </w:pPr>
            <w:r w:rsidRPr="00B4584E">
              <w:rPr>
                <w:rFonts w:ascii="Bookman Old Style" w:hAnsi="Bookman Old Style"/>
                <w:sz w:val="18"/>
                <w:szCs w:val="18"/>
                <w:lang w:val="uk-UA"/>
              </w:rPr>
              <w:t>виявленими обставинами в разі прийняття нових законів, інших нормативно-правових актів, якими скасовані закони та інші нормативно-правові акти, що діяли на час розгляду справи, не допускається, крім випадків, коли вони пом'якшують або скасовують відповідальність фізичної особи</w:t>
            </w:r>
            <w:r>
              <w:rPr>
                <w:rFonts w:ascii="Bookman Old Style" w:hAnsi="Bookman Old Style"/>
                <w:sz w:val="18"/>
                <w:szCs w:val="18"/>
                <w:lang w:val="uk-UA"/>
              </w:rPr>
              <w:t xml:space="preserve"> </w:t>
            </w:r>
            <w:r w:rsidRPr="001E05B0">
              <w:rPr>
                <w:rFonts w:ascii="Bookman Old Style" w:hAnsi="Bookman Old Style"/>
                <w:b/>
                <w:sz w:val="18"/>
                <w:szCs w:val="18"/>
                <w:lang w:val="uk-UA"/>
              </w:rPr>
              <w:t>(КАСУ)</w:t>
            </w:r>
          </w:p>
        </w:tc>
      </w:tr>
      <w:tr w:rsidR="00DC7BE7" w:rsidRPr="00465195" w:rsidTr="00DC7BE7">
        <w:tc>
          <w:tcPr>
            <w:tcW w:w="2376" w:type="dxa"/>
            <w:vAlign w:val="center"/>
          </w:tcPr>
          <w:p w:rsidR="00DC7BE7" w:rsidRPr="001E05B0" w:rsidRDefault="00DC7BE7" w:rsidP="00DC7BE7">
            <w:pPr>
              <w:rPr>
                <w:rFonts w:ascii="Bookman Old Style" w:hAnsi="Bookman Old Style"/>
                <w:b/>
                <w:lang w:val="uk-UA"/>
              </w:rPr>
            </w:pPr>
            <w:r w:rsidRPr="001E05B0">
              <w:rPr>
                <w:rFonts w:ascii="Bookman Old Style" w:hAnsi="Bookman Old Style"/>
                <w:b/>
                <w:lang w:val="uk-UA"/>
              </w:rPr>
              <w:t>Хто здійснює розгляд заяви</w:t>
            </w:r>
          </w:p>
        </w:tc>
        <w:tc>
          <w:tcPr>
            <w:tcW w:w="4111" w:type="dxa"/>
            <w:gridSpan w:val="2"/>
            <w:vAlign w:val="center"/>
          </w:tcPr>
          <w:p w:rsidR="00DC7BE7" w:rsidRPr="001E05B0" w:rsidRDefault="00DC7BE7" w:rsidP="00DC7BE7">
            <w:pPr>
              <w:rPr>
                <w:rFonts w:ascii="Bookman Old Style" w:hAnsi="Bookman Old Style"/>
                <w:sz w:val="18"/>
                <w:szCs w:val="18"/>
                <w:lang w:val="uk-UA"/>
              </w:rPr>
            </w:pPr>
            <w:r w:rsidRPr="00465195">
              <w:rPr>
                <w:rFonts w:ascii="Bookman Old Style" w:hAnsi="Bookman Old Style"/>
                <w:sz w:val="18"/>
                <w:szCs w:val="18"/>
                <w:lang w:val="uk-UA"/>
              </w:rPr>
              <w:t>Суддя, який брав участь у вирішенні справи в суді першої, апеляційної, касаційної інстанцій, у перегляді справи Верховним Судом України</w:t>
            </w:r>
            <w:r w:rsidRPr="00465195">
              <w:rPr>
                <w:rFonts w:ascii="Bookman Old Style" w:hAnsi="Bookman Old Style"/>
                <w:b/>
                <w:sz w:val="18"/>
                <w:szCs w:val="18"/>
                <w:lang w:val="uk-UA"/>
              </w:rPr>
              <w:t xml:space="preserve">, не може брати участі у розгляді заяви про перегляд судового рішення за нововиявленими обставинами </w:t>
            </w:r>
            <w:r w:rsidRPr="00465195">
              <w:rPr>
                <w:rFonts w:ascii="Bookman Old Style" w:hAnsi="Bookman Old Style"/>
                <w:sz w:val="18"/>
                <w:szCs w:val="18"/>
                <w:lang w:val="uk-UA"/>
              </w:rPr>
              <w:t>у цій справі.</w:t>
            </w:r>
          </w:p>
        </w:tc>
        <w:tc>
          <w:tcPr>
            <w:tcW w:w="2693" w:type="dxa"/>
            <w:vAlign w:val="center"/>
          </w:tcPr>
          <w:p w:rsidR="00DC7BE7" w:rsidRPr="001E05B0" w:rsidRDefault="00DC7BE7" w:rsidP="00DC7BE7">
            <w:pPr>
              <w:rPr>
                <w:rFonts w:ascii="Bookman Old Style" w:hAnsi="Bookman Old Style"/>
                <w:sz w:val="18"/>
                <w:szCs w:val="18"/>
                <w:lang w:val="uk-UA"/>
              </w:rPr>
            </w:pPr>
            <w:r>
              <w:rPr>
                <w:rFonts w:ascii="Bookman Old Style" w:hAnsi="Bookman Old Style"/>
                <w:sz w:val="18"/>
                <w:szCs w:val="18"/>
                <w:lang w:val="uk-UA"/>
              </w:rPr>
              <w:t>У</w:t>
            </w:r>
            <w:r w:rsidRPr="001E05B0">
              <w:rPr>
                <w:rFonts w:ascii="Bookman Old Style" w:hAnsi="Bookman Old Style"/>
                <w:sz w:val="18"/>
                <w:szCs w:val="18"/>
                <w:lang w:val="uk-UA"/>
              </w:rPr>
              <w:t xml:space="preserve">розгляді заяви та перегляді судового рішення за нововиявленими обставинами </w:t>
            </w:r>
            <w:r w:rsidRPr="001E05B0">
              <w:rPr>
                <w:rFonts w:ascii="Bookman Old Style" w:hAnsi="Bookman Old Style"/>
                <w:b/>
                <w:sz w:val="18"/>
                <w:szCs w:val="18"/>
                <w:lang w:val="uk-UA"/>
              </w:rPr>
              <w:t>не може брати участь суддя, який брав участь в ухваленні судового рішення</w:t>
            </w:r>
            <w:r w:rsidRPr="001E05B0">
              <w:rPr>
                <w:rFonts w:ascii="Bookman Old Style" w:hAnsi="Bookman Old Style"/>
                <w:sz w:val="18"/>
                <w:szCs w:val="18"/>
                <w:lang w:val="uk-UA"/>
              </w:rPr>
              <w:t>, про перегляд якого ставиться питання.</w:t>
            </w:r>
          </w:p>
        </w:tc>
        <w:tc>
          <w:tcPr>
            <w:tcW w:w="5812" w:type="dxa"/>
            <w:gridSpan w:val="3"/>
            <w:vAlign w:val="center"/>
          </w:tcPr>
          <w:p w:rsidR="00DC7BE7" w:rsidRDefault="00DC7BE7" w:rsidP="00DC7BE7">
            <w:pPr>
              <w:rPr>
                <w:rFonts w:ascii="Bookman Old Style" w:hAnsi="Bookman Old Style"/>
                <w:sz w:val="18"/>
                <w:szCs w:val="18"/>
                <w:lang w:val="uk-UA"/>
              </w:rPr>
            </w:pPr>
            <w:r>
              <w:rPr>
                <w:rFonts w:ascii="Bookman Old Style" w:hAnsi="Bookman Old Style"/>
                <w:sz w:val="18"/>
                <w:szCs w:val="18"/>
                <w:lang w:val="uk-UA"/>
              </w:rPr>
              <w:t>Р</w:t>
            </w:r>
            <w:r w:rsidRPr="001E05B0">
              <w:rPr>
                <w:rFonts w:ascii="Bookman Old Style" w:hAnsi="Bookman Old Style"/>
                <w:sz w:val="18"/>
                <w:szCs w:val="18"/>
                <w:lang w:val="uk-UA"/>
              </w:rPr>
              <w:t xml:space="preserve">озгляд заяви про перегляд судового рішення за нововиявленими обставинами </w:t>
            </w:r>
            <w:r w:rsidRPr="00465195">
              <w:rPr>
                <w:rFonts w:ascii="Bookman Old Style" w:hAnsi="Bookman Old Style"/>
                <w:b/>
                <w:sz w:val="18"/>
                <w:szCs w:val="18"/>
                <w:lang w:val="uk-UA"/>
              </w:rPr>
              <w:t>здійснюється тим самим складом суду, який ухвалив рішення,</w:t>
            </w:r>
            <w:r w:rsidRPr="001E05B0">
              <w:rPr>
                <w:rFonts w:ascii="Bookman Old Style" w:hAnsi="Bookman Old Style"/>
                <w:sz w:val="18"/>
                <w:szCs w:val="18"/>
                <w:lang w:val="uk-UA"/>
              </w:rPr>
              <w:t xml:space="preserve"> що переглядається, якщо справа розглядалася суддею одноособово або у складі колегії суддів. якщо такий склад суду сформувати неможливо, суддя або колегія суддів для розгляду заяви про перегляд судового рішення за нововиявленими обставинами визначається в порядку, встановленому частиною першою цієї статті.</w:t>
            </w:r>
          </w:p>
          <w:p w:rsidR="00DC7BE7" w:rsidRPr="00465195" w:rsidRDefault="00DC7BE7" w:rsidP="00DC7BE7">
            <w:pPr>
              <w:rPr>
                <w:rFonts w:ascii="Bookman Old Style" w:hAnsi="Bookman Old Style"/>
                <w:sz w:val="18"/>
                <w:szCs w:val="18"/>
                <w:lang w:val="uk-UA"/>
              </w:rPr>
            </w:pPr>
            <w:r w:rsidRPr="00465195">
              <w:rPr>
                <w:rFonts w:ascii="Bookman Old Style" w:hAnsi="Bookman Old Style"/>
                <w:sz w:val="18"/>
                <w:szCs w:val="18"/>
                <w:lang w:val="uk-UA"/>
              </w:rPr>
              <w:t xml:space="preserve">Суддя, який брав участь у вирішенні справи, </w:t>
            </w:r>
            <w:r w:rsidRPr="00465195">
              <w:rPr>
                <w:rFonts w:ascii="Bookman Old Style" w:hAnsi="Bookman Old Style"/>
                <w:sz w:val="18"/>
                <w:szCs w:val="18"/>
                <w:u w:val="single"/>
                <w:lang w:val="uk-UA"/>
              </w:rPr>
              <w:t>рішення в якій було в подальшому скасоване</w:t>
            </w:r>
            <w:r w:rsidRPr="00465195">
              <w:rPr>
                <w:rFonts w:ascii="Bookman Old Style" w:hAnsi="Bookman Old Style"/>
                <w:sz w:val="18"/>
                <w:szCs w:val="18"/>
                <w:lang w:val="uk-UA"/>
              </w:rPr>
              <w:t xml:space="preserve"> судом вищої інстанції, </w:t>
            </w:r>
            <w:r w:rsidRPr="00465195">
              <w:rPr>
                <w:rFonts w:ascii="Bookman Old Style" w:hAnsi="Bookman Old Style"/>
                <w:b/>
                <w:sz w:val="18"/>
                <w:szCs w:val="18"/>
                <w:lang w:val="uk-UA"/>
              </w:rPr>
              <w:t>не може брати участі у розгляді заяви про перегляд</w:t>
            </w:r>
            <w:r w:rsidRPr="00465195">
              <w:rPr>
                <w:rFonts w:ascii="Bookman Old Style" w:hAnsi="Bookman Old Style"/>
                <w:sz w:val="18"/>
                <w:szCs w:val="18"/>
                <w:lang w:val="uk-UA"/>
              </w:rPr>
              <w:t xml:space="preserve"> за нововиявленими обставинами рішення суду у цій справі.</w:t>
            </w:r>
          </w:p>
        </w:tc>
      </w:tr>
      <w:tr w:rsidR="00DC7BE7" w:rsidRPr="00B4584E" w:rsidTr="00DC7BE7">
        <w:tc>
          <w:tcPr>
            <w:tcW w:w="2376" w:type="dxa"/>
            <w:vAlign w:val="center"/>
          </w:tcPr>
          <w:p w:rsidR="00DC7BE7" w:rsidRPr="00465195" w:rsidRDefault="00DC7BE7" w:rsidP="00DC7BE7">
            <w:pPr>
              <w:rPr>
                <w:rFonts w:ascii="Bookman Old Style" w:hAnsi="Bookman Old Style"/>
                <w:b/>
                <w:lang w:val="uk-UA"/>
              </w:rPr>
            </w:pPr>
            <w:r w:rsidRPr="00465195">
              <w:rPr>
                <w:rFonts w:ascii="Bookman Old Style" w:hAnsi="Bookman Old Style"/>
                <w:b/>
                <w:lang w:val="uk-UA"/>
              </w:rPr>
              <w:t>Строк для відкриття провадження</w:t>
            </w:r>
          </w:p>
        </w:tc>
        <w:tc>
          <w:tcPr>
            <w:tcW w:w="1843" w:type="dxa"/>
            <w:vAlign w:val="center"/>
          </w:tcPr>
          <w:p w:rsidR="00DC7BE7" w:rsidRPr="00B4584E" w:rsidRDefault="00DC7BE7" w:rsidP="00DC7BE7">
            <w:pPr>
              <w:rPr>
                <w:rFonts w:ascii="Bookman Old Style" w:hAnsi="Bookman Old Style"/>
                <w:lang w:val="uk-UA"/>
              </w:rPr>
            </w:pPr>
            <w:r>
              <w:rPr>
                <w:rFonts w:ascii="Bookman Old Style" w:hAnsi="Bookman Old Style"/>
                <w:lang w:val="uk-UA"/>
              </w:rPr>
              <w:t>Не встановлено</w:t>
            </w:r>
          </w:p>
        </w:tc>
        <w:tc>
          <w:tcPr>
            <w:tcW w:w="2268" w:type="dxa"/>
            <w:vAlign w:val="center"/>
          </w:tcPr>
          <w:p w:rsidR="00DC7BE7" w:rsidRPr="00B4584E" w:rsidRDefault="00DC7BE7" w:rsidP="00DC7BE7">
            <w:pPr>
              <w:rPr>
                <w:rFonts w:ascii="Bookman Old Style" w:hAnsi="Bookman Old Style"/>
                <w:lang w:val="uk-UA"/>
              </w:rPr>
            </w:pPr>
            <w:r w:rsidRPr="00465195">
              <w:rPr>
                <w:rFonts w:ascii="Bookman Old Style" w:hAnsi="Bookman Old Style"/>
                <w:b/>
                <w:lang w:val="uk-UA"/>
              </w:rPr>
              <w:t>3 дні</w:t>
            </w:r>
            <w:r>
              <w:rPr>
                <w:rFonts w:ascii="Bookman Old Style" w:hAnsi="Bookman Old Style"/>
                <w:lang w:val="uk-UA"/>
              </w:rPr>
              <w:t xml:space="preserve"> після надходження заяви</w:t>
            </w:r>
          </w:p>
        </w:tc>
        <w:tc>
          <w:tcPr>
            <w:tcW w:w="2693" w:type="dxa"/>
            <w:vAlign w:val="center"/>
          </w:tcPr>
          <w:p w:rsidR="00DC7BE7" w:rsidRPr="00B4584E" w:rsidRDefault="00DC7BE7" w:rsidP="00DC7BE7">
            <w:pPr>
              <w:rPr>
                <w:rFonts w:ascii="Bookman Old Style" w:hAnsi="Bookman Old Style"/>
                <w:lang w:val="uk-UA"/>
              </w:rPr>
            </w:pPr>
            <w:r w:rsidRPr="00465195">
              <w:rPr>
                <w:rFonts w:ascii="Bookman Old Style" w:hAnsi="Bookman Old Style"/>
                <w:lang w:val="uk-UA"/>
              </w:rPr>
              <w:t>Не пізніше наступного дня після надходження заяви</w:t>
            </w:r>
          </w:p>
        </w:tc>
        <w:tc>
          <w:tcPr>
            <w:tcW w:w="5812" w:type="dxa"/>
            <w:gridSpan w:val="3"/>
            <w:vAlign w:val="center"/>
          </w:tcPr>
          <w:p w:rsidR="00DC7BE7" w:rsidRPr="00B4584E" w:rsidRDefault="00DC7BE7" w:rsidP="00DC7BE7">
            <w:pPr>
              <w:rPr>
                <w:rFonts w:ascii="Bookman Old Style" w:hAnsi="Bookman Old Style"/>
                <w:lang w:val="uk-UA"/>
              </w:rPr>
            </w:pPr>
            <w:r>
              <w:rPr>
                <w:rFonts w:ascii="Bookman Old Style" w:hAnsi="Bookman Old Style"/>
                <w:lang w:val="uk-UA"/>
              </w:rPr>
              <w:t xml:space="preserve">Протягом </w:t>
            </w:r>
            <w:r w:rsidRPr="00465195">
              <w:rPr>
                <w:rFonts w:ascii="Bookman Old Style" w:hAnsi="Bookman Old Style"/>
                <w:b/>
                <w:lang w:val="uk-UA"/>
              </w:rPr>
              <w:t>5 днів</w:t>
            </w:r>
            <w:r>
              <w:rPr>
                <w:rFonts w:ascii="Bookman Old Style" w:hAnsi="Bookman Old Style"/>
                <w:lang w:val="uk-UA"/>
              </w:rPr>
              <w:t xml:space="preserve"> </w:t>
            </w:r>
            <w:r w:rsidRPr="00465195">
              <w:rPr>
                <w:rFonts w:ascii="Bookman Old Style" w:hAnsi="Bookman Old Style"/>
                <w:lang w:val="uk-UA"/>
              </w:rPr>
              <w:t>після надходження заяви</w:t>
            </w:r>
          </w:p>
        </w:tc>
      </w:tr>
      <w:tr w:rsidR="00DC7BE7" w:rsidRPr="00B4584E" w:rsidTr="00DC7BE7">
        <w:tc>
          <w:tcPr>
            <w:tcW w:w="2376" w:type="dxa"/>
            <w:vAlign w:val="center"/>
          </w:tcPr>
          <w:p w:rsidR="00DC7BE7" w:rsidRPr="00465195" w:rsidRDefault="00DC7BE7" w:rsidP="00DC7BE7">
            <w:pPr>
              <w:rPr>
                <w:rFonts w:ascii="Bookman Old Style" w:hAnsi="Bookman Old Style"/>
                <w:b/>
                <w:lang w:val="uk-UA"/>
              </w:rPr>
            </w:pPr>
            <w:r w:rsidRPr="00465195">
              <w:rPr>
                <w:rFonts w:ascii="Bookman Old Style" w:hAnsi="Bookman Old Style"/>
                <w:b/>
                <w:lang w:val="uk-UA"/>
              </w:rPr>
              <w:t>Строк розгляду заяви</w:t>
            </w:r>
          </w:p>
        </w:tc>
        <w:tc>
          <w:tcPr>
            <w:tcW w:w="1843" w:type="dxa"/>
            <w:vAlign w:val="center"/>
          </w:tcPr>
          <w:p w:rsidR="00DC7BE7" w:rsidRPr="008D5D67" w:rsidRDefault="00DC7BE7" w:rsidP="00DC7BE7">
            <w:pPr>
              <w:rPr>
                <w:rFonts w:ascii="Bookman Old Style" w:hAnsi="Bookman Old Style"/>
                <w:lang w:val="uk-UA"/>
              </w:rPr>
            </w:pPr>
            <w:r w:rsidRPr="008D5D67">
              <w:rPr>
                <w:rFonts w:ascii="Bookman Old Style" w:hAnsi="Bookman Old Style"/>
                <w:b/>
                <w:lang w:val="uk-UA"/>
              </w:rPr>
              <w:t>1 місяць</w:t>
            </w:r>
            <w:r w:rsidRPr="008D5D67">
              <w:rPr>
                <w:rFonts w:ascii="Bookman Old Style" w:hAnsi="Bookman Old Style"/>
                <w:lang w:val="uk-UA"/>
              </w:rPr>
              <w:t xml:space="preserve"> з дня надходження</w:t>
            </w:r>
          </w:p>
        </w:tc>
        <w:tc>
          <w:tcPr>
            <w:tcW w:w="2268" w:type="dxa"/>
            <w:vAlign w:val="center"/>
          </w:tcPr>
          <w:p w:rsidR="00DC7BE7" w:rsidRPr="00465195" w:rsidRDefault="00DC7BE7" w:rsidP="00DC7BE7">
            <w:pPr>
              <w:rPr>
                <w:rFonts w:ascii="Bookman Old Style" w:hAnsi="Bookman Old Style"/>
                <w:sz w:val="18"/>
                <w:szCs w:val="18"/>
                <w:lang w:val="uk-UA"/>
              </w:rPr>
            </w:pPr>
            <w:r>
              <w:rPr>
                <w:rFonts w:ascii="Bookman Old Style" w:hAnsi="Bookman Old Style"/>
                <w:sz w:val="18"/>
                <w:szCs w:val="18"/>
                <w:lang w:val="uk-UA"/>
              </w:rPr>
              <w:t>В</w:t>
            </w:r>
            <w:r w:rsidRPr="00465195">
              <w:rPr>
                <w:rFonts w:ascii="Bookman Old Style" w:hAnsi="Bookman Old Style"/>
                <w:sz w:val="18"/>
                <w:szCs w:val="18"/>
                <w:lang w:val="uk-UA"/>
              </w:rPr>
              <w:t xml:space="preserve"> </w:t>
            </w:r>
            <w:r>
              <w:rPr>
                <w:rFonts w:ascii="Bookman Old Style" w:hAnsi="Bookman Old Style"/>
                <w:sz w:val="18"/>
                <w:szCs w:val="18"/>
                <w:lang w:val="uk-UA"/>
              </w:rPr>
              <w:t>строк</w:t>
            </w:r>
            <w:r w:rsidRPr="00465195">
              <w:rPr>
                <w:rFonts w:ascii="Bookman Old Style" w:hAnsi="Bookman Old Style"/>
                <w:sz w:val="18"/>
                <w:szCs w:val="18"/>
                <w:lang w:val="uk-UA"/>
              </w:rPr>
              <w:t>, встановлен</w:t>
            </w:r>
            <w:r>
              <w:rPr>
                <w:rFonts w:ascii="Bookman Old Style" w:hAnsi="Bookman Old Style"/>
                <w:sz w:val="18"/>
                <w:szCs w:val="18"/>
                <w:lang w:val="uk-UA"/>
              </w:rPr>
              <w:t xml:space="preserve">ий </w:t>
            </w:r>
            <w:r w:rsidRPr="00465195">
              <w:rPr>
                <w:rFonts w:ascii="Bookman Old Style" w:hAnsi="Bookman Old Style"/>
                <w:sz w:val="18"/>
                <w:szCs w:val="18"/>
                <w:lang w:val="uk-UA"/>
              </w:rPr>
              <w:t>для вирішення справи у відповідній інстанції</w:t>
            </w:r>
          </w:p>
        </w:tc>
        <w:tc>
          <w:tcPr>
            <w:tcW w:w="2693" w:type="dxa"/>
            <w:vAlign w:val="center"/>
          </w:tcPr>
          <w:p w:rsidR="00DC7BE7" w:rsidRPr="00B4584E" w:rsidRDefault="00DC7BE7" w:rsidP="00DC7BE7">
            <w:pPr>
              <w:rPr>
                <w:rFonts w:ascii="Bookman Old Style" w:hAnsi="Bookman Old Style"/>
                <w:lang w:val="uk-UA"/>
              </w:rPr>
            </w:pPr>
            <w:r w:rsidRPr="008D5D67">
              <w:rPr>
                <w:rFonts w:ascii="Bookman Old Style" w:hAnsi="Bookman Old Style"/>
                <w:b/>
                <w:lang w:val="uk-UA"/>
              </w:rPr>
              <w:t>2 місяці</w:t>
            </w:r>
            <w:r>
              <w:rPr>
                <w:rFonts w:ascii="Bookman Old Style" w:hAnsi="Bookman Old Style"/>
                <w:lang w:val="uk-UA"/>
              </w:rPr>
              <w:t xml:space="preserve"> після надходження</w:t>
            </w:r>
          </w:p>
        </w:tc>
        <w:tc>
          <w:tcPr>
            <w:tcW w:w="5812" w:type="dxa"/>
            <w:gridSpan w:val="3"/>
            <w:vAlign w:val="center"/>
          </w:tcPr>
          <w:p w:rsidR="00DC7BE7" w:rsidRPr="00B4584E" w:rsidRDefault="00DC7BE7" w:rsidP="00DC7BE7">
            <w:pPr>
              <w:rPr>
                <w:rFonts w:ascii="Bookman Old Style" w:hAnsi="Bookman Old Style"/>
                <w:lang w:val="uk-UA"/>
              </w:rPr>
            </w:pPr>
            <w:r w:rsidRPr="00465195">
              <w:rPr>
                <w:rFonts w:ascii="Bookman Old Style" w:hAnsi="Bookman Old Style"/>
                <w:b/>
                <w:lang w:val="uk-UA"/>
              </w:rPr>
              <w:t>30 днів</w:t>
            </w:r>
            <w:r>
              <w:rPr>
                <w:rFonts w:ascii="Bookman Old Style" w:hAnsi="Bookman Old Style"/>
                <w:lang w:val="uk-UA"/>
              </w:rPr>
              <w:t xml:space="preserve"> з дня відкриття провадження</w:t>
            </w:r>
          </w:p>
        </w:tc>
      </w:tr>
    </w:tbl>
    <w:p w:rsidR="00DC7BE7" w:rsidRPr="00DC7BE7" w:rsidRDefault="00DC7BE7" w:rsidP="00DC7BE7">
      <w:pPr>
        <w:spacing w:after="0" w:line="240" w:lineRule="auto"/>
        <w:rPr>
          <w:szCs w:val="16"/>
          <w:lang w:val="uk-UA"/>
        </w:rPr>
      </w:pPr>
    </w:p>
    <w:sectPr w:rsidR="00DC7BE7" w:rsidRPr="00DC7BE7" w:rsidSect="00DC7BE7">
      <w:headerReference w:type="default" r:id="rId7"/>
      <w:footerReference w:type="default" r:id="rId8"/>
      <w:pgSz w:w="16838" w:h="11906" w:orient="landscape"/>
      <w:pgMar w:top="1134" w:right="1134" w:bottom="851" w:left="1134" w:header="855"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34B" w:rsidRDefault="0039134B" w:rsidP="001D748D">
      <w:pPr>
        <w:spacing w:after="0" w:line="240" w:lineRule="auto"/>
      </w:pPr>
      <w:r>
        <w:separator/>
      </w:r>
    </w:p>
  </w:endnote>
  <w:endnote w:type="continuationSeparator" w:id="1">
    <w:p w:rsidR="0039134B" w:rsidRDefault="0039134B" w:rsidP="001D74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8D" w:rsidRPr="001D748D" w:rsidRDefault="001D748D" w:rsidP="00821B15">
    <w:pPr>
      <w:pStyle w:val="a6"/>
      <w:jc w:val="right"/>
    </w:pPr>
    <w:r w:rsidRPr="001D748D">
      <w:t xml:space="preserve">© </w:t>
    </w:r>
    <w:hyperlink r:id="rId1" w:history="1">
      <w:r w:rsidRPr="001D748D">
        <w:t xml:space="preserve"> </w:t>
      </w:r>
      <w:r>
        <w:t>Адвокатське об'єднання</w:t>
      </w:r>
      <w:r>
        <w:rPr>
          <w:lang w:val="uk-UA"/>
        </w:rPr>
        <w:t xml:space="preserve"> «</w:t>
      </w:r>
      <w:r w:rsidRPr="001D748D">
        <w:rPr>
          <w:rStyle w:val="a8"/>
          <w:lang w:val="en-US"/>
        </w:rPr>
        <w:t>Letrado</w:t>
      </w:r>
    </w:hyperlink>
    <w:r>
      <w:rPr>
        <w:lang w:val="uk-UA"/>
      </w:rPr>
      <w:t>»</w:t>
    </w:r>
    <w:r w:rsidRPr="001D748D">
      <w:t xml:space="preserve"> , </w:t>
    </w:r>
    <w:r>
      <w:t>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34B" w:rsidRDefault="0039134B" w:rsidP="001D748D">
      <w:pPr>
        <w:spacing w:after="0" w:line="240" w:lineRule="auto"/>
      </w:pPr>
      <w:r>
        <w:separator/>
      </w:r>
    </w:p>
  </w:footnote>
  <w:footnote w:type="continuationSeparator" w:id="1">
    <w:p w:rsidR="0039134B" w:rsidRDefault="0039134B" w:rsidP="001D74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8D" w:rsidRPr="001D748D" w:rsidRDefault="001D748D" w:rsidP="001D748D">
    <w:pPr>
      <w:pStyle w:val="a4"/>
      <w:jc w:val="right"/>
      <w:rPr>
        <w:lang w:val="uk-UA"/>
      </w:rPr>
    </w:pPr>
    <w:r>
      <w:rPr>
        <w:rFonts w:ascii="Bookman Old Style" w:hAnsi="Bookman Old Style"/>
        <w:lang w:val="uk-UA"/>
      </w:rPr>
      <w:t>Головні зміни ЦПК, ГПК і КАСУ</w:t>
    </w:r>
    <w:r w:rsidRPr="00744CBC">
      <w:rPr>
        <w:rFonts w:ascii="Bookman Old Style" w:hAnsi="Bookman Old Style"/>
        <w:lang w:val="uk-U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D748D"/>
    <w:rsid w:val="000F6A16"/>
    <w:rsid w:val="001D748D"/>
    <w:rsid w:val="00200E2B"/>
    <w:rsid w:val="00233824"/>
    <w:rsid w:val="00372FE8"/>
    <w:rsid w:val="0039134B"/>
    <w:rsid w:val="00464EBD"/>
    <w:rsid w:val="005E51C5"/>
    <w:rsid w:val="00723148"/>
    <w:rsid w:val="0080018E"/>
    <w:rsid w:val="00821B15"/>
    <w:rsid w:val="00A265EB"/>
    <w:rsid w:val="00A31F1D"/>
    <w:rsid w:val="00A77DA5"/>
    <w:rsid w:val="00AC1D7F"/>
    <w:rsid w:val="00B4742F"/>
    <w:rsid w:val="00C87C89"/>
    <w:rsid w:val="00C96425"/>
    <w:rsid w:val="00CA34E4"/>
    <w:rsid w:val="00DC7BE7"/>
    <w:rsid w:val="00DE241A"/>
    <w:rsid w:val="00F74B6C"/>
    <w:rsid w:val="00FA0DA1"/>
    <w:rsid w:val="00FA5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48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748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1D748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D748D"/>
    <w:rPr>
      <w:rFonts w:eastAsiaTheme="minorEastAsia"/>
      <w:lang w:eastAsia="ru-RU"/>
    </w:rPr>
  </w:style>
  <w:style w:type="paragraph" w:styleId="a6">
    <w:name w:val="footer"/>
    <w:basedOn w:val="a"/>
    <w:link w:val="a7"/>
    <w:uiPriority w:val="99"/>
    <w:semiHidden/>
    <w:unhideWhenUsed/>
    <w:rsid w:val="001D748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D748D"/>
    <w:rPr>
      <w:rFonts w:eastAsiaTheme="minorEastAsia"/>
      <w:lang w:eastAsia="ru-RU"/>
    </w:rPr>
  </w:style>
  <w:style w:type="character" w:styleId="a8">
    <w:name w:val="Hyperlink"/>
    <w:basedOn w:val="a0"/>
    <w:uiPriority w:val="99"/>
    <w:unhideWhenUsed/>
    <w:rsid w:val="001D74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letrado.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11F44-DC25-45E2-A8A9-0CE080CD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Letrado</dc:creator>
  <cp:lastModifiedBy>Пользователь</cp:lastModifiedBy>
  <cp:revision>8</cp:revision>
  <dcterms:created xsi:type="dcterms:W3CDTF">2017-12-14T03:51:00Z</dcterms:created>
  <dcterms:modified xsi:type="dcterms:W3CDTF">2017-12-15T16:30:00Z</dcterms:modified>
</cp:coreProperties>
</file>