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20" w:type="dxa"/>
        <w:tblInd w:w="55"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00"/>
      </w:tblPr>
      <w:tblGrid>
        <w:gridCol w:w="992"/>
        <w:gridCol w:w="4110"/>
        <w:gridCol w:w="9418"/>
      </w:tblGrid>
      <w:tr w:rsidR="000A53CB" w:rsidRPr="00344021" w:rsidTr="008811D6">
        <w:trPr>
          <w:trHeight w:val="224"/>
        </w:trPr>
        <w:tc>
          <w:tcPr>
            <w:tcW w:w="992" w:type="dxa"/>
            <w:vMerge w:val="restart"/>
            <w:tcBorders>
              <w:top w:val="single" w:sz="2" w:space="0" w:color="000000"/>
              <w:left w:val="single" w:sz="2" w:space="0" w:color="000000"/>
              <w:right w:val="single" w:sz="2" w:space="0" w:color="000000"/>
            </w:tcBorders>
            <w:shd w:val="clear" w:color="auto" w:fill="auto"/>
            <w:tcMar>
              <w:left w:w="54" w:type="dxa"/>
            </w:tcMar>
          </w:tcPr>
          <w:p w:rsidR="000A53CB" w:rsidRPr="000A53CB" w:rsidRDefault="000A53CB" w:rsidP="00D2006E">
            <w:pPr>
              <w:pStyle w:val="a9"/>
              <w:jc w:val="center"/>
              <w:rPr>
                <w:rFonts w:asciiTheme="minorHAnsi" w:hAnsiTheme="minorHAnsi"/>
                <w:b/>
                <w:bCs/>
                <w:sz w:val="22"/>
                <w:szCs w:val="22"/>
                <w:lang w:val="uk-UA"/>
              </w:rPr>
            </w:pPr>
            <w:r w:rsidRPr="000A53CB">
              <w:rPr>
                <w:sz w:val="20"/>
                <w:szCs w:val="20"/>
                <w:lang w:val="uk-UA"/>
              </w:rPr>
              <w:t>Таблиця №</w:t>
            </w:r>
            <w:r w:rsidR="00D2006E">
              <w:rPr>
                <w:rFonts w:asciiTheme="minorHAnsi" w:hAnsiTheme="minorHAnsi"/>
                <w:sz w:val="20"/>
                <w:szCs w:val="20"/>
                <w:lang w:val="uk-UA"/>
              </w:rPr>
              <w:t>4</w:t>
            </w:r>
          </w:p>
        </w:tc>
        <w:tc>
          <w:tcPr>
            <w:tcW w:w="13528" w:type="dxa"/>
            <w:gridSpan w:val="2"/>
            <w:tcBorders>
              <w:top w:val="single" w:sz="2" w:space="0" w:color="000000"/>
              <w:left w:val="single" w:sz="2" w:space="0" w:color="000000"/>
              <w:bottom w:val="single" w:sz="2" w:space="0" w:color="000000"/>
              <w:right w:val="single" w:sz="2" w:space="0" w:color="000000"/>
            </w:tcBorders>
            <w:shd w:val="clear" w:color="auto" w:fill="auto"/>
          </w:tcPr>
          <w:p w:rsidR="000A53CB" w:rsidRPr="00344021" w:rsidRDefault="00D2006E" w:rsidP="00D2006E">
            <w:pPr>
              <w:pStyle w:val="a9"/>
              <w:jc w:val="center"/>
              <w:rPr>
                <w:rFonts w:ascii="Bookman Old Style" w:hAnsi="Bookman Old Style"/>
                <w:b/>
                <w:bCs/>
                <w:sz w:val="22"/>
                <w:szCs w:val="22"/>
                <w:lang w:val="uk-UA"/>
              </w:rPr>
            </w:pPr>
            <w:r w:rsidRPr="00344021">
              <w:rPr>
                <w:rFonts w:ascii="Bookman Old Style" w:hAnsi="Bookman Old Style"/>
                <w:b/>
                <w:bCs/>
                <w:sz w:val="22"/>
                <w:szCs w:val="22"/>
                <w:lang w:val="uk-UA"/>
              </w:rPr>
              <w:t>НАКАЗНЕ ПРОВАДЖЕННЯ:</w:t>
            </w:r>
            <w:r>
              <w:rPr>
                <w:rFonts w:ascii="Bookman Old Style" w:hAnsi="Bookman Old Style"/>
                <w:b/>
                <w:bCs/>
                <w:sz w:val="22"/>
                <w:szCs w:val="22"/>
                <w:lang w:val="uk-UA"/>
              </w:rPr>
              <w:t xml:space="preserve"> П</w:t>
            </w:r>
            <w:r w:rsidRPr="00344021">
              <w:rPr>
                <w:rFonts w:ascii="Bookman Old Style" w:hAnsi="Bookman Old Style"/>
                <w:b/>
                <w:bCs/>
                <w:sz w:val="22"/>
                <w:szCs w:val="22"/>
                <w:lang w:val="uk-UA"/>
              </w:rPr>
              <w:t>ідстави для відмови у видачі судового наказу</w:t>
            </w:r>
          </w:p>
        </w:tc>
      </w:tr>
      <w:tr w:rsidR="000A53CB" w:rsidRPr="00344021" w:rsidTr="00D2006E">
        <w:trPr>
          <w:trHeight w:val="142"/>
        </w:trPr>
        <w:tc>
          <w:tcPr>
            <w:tcW w:w="992" w:type="dxa"/>
            <w:vMerge/>
            <w:tcBorders>
              <w:left w:val="single" w:sz="2" w:space="0" w:color="000000"/>
              <w:bottom w:val="single" w:sz="2" w:space="0" w:color="000000"/>
              <w:right w:val="single" w:sz="2" w:space="0" w:color="000000"/>
            </w:tcBorders>
            <w:shd w:val="clear" w:color="auto" w:fill="auto"/>
            <w:tcMar>
              <w:left w:w="54" w:type="dxa"/>
            </w:tcMar>
          </w:tcPr>
          <w:p w:rsidR="000A53CB" w:rsidRPr="00344021" w:rsidRDefault="000A53CB" w:rsidP="005B021F">
            <w:pPr>
              <w:pStyle w:val="a9"/>
              <w:jc w:val="center"/>
              <w:rPr>
                <w:rFonts w:ascii="Bookman Old Style" w:hAnsi="Bookman Old Style"/>
                <w:bCs/>
                <w:i/>
                <w:sz w:val="22"/>
                <w:szCs w:val="22"/>
                <w:lang w:val="uk-UA"/>
              </w:rPr>
            </w:pPr>
          </w:p>
        </w:tc>
        <w:tc>
          <w:tcPr>
            <w:tcW w:w="4110" w:type="dxa"/>
            <w:tcBorders>
              <w:top w:val="single" w:sz="2" w:space="0" w:color="000000"/>
              <w:left w:val="single" w:sz="2" w:space="0" w:color="000000"/>
              <w:bottom w:val="single" w:sz="2" w:space="0" w:color="000000"/>
            </w:tcBorders>
            <w:shd w:val="clear" w:color="auto" w:fill="auto"/>
          </w:tcPr>
          <w:p w:rsidR="000A53CB" w:rsidRPr="000A53CB" w:rsidRDefault="000A53CB" w:rsidP="005B021F">
            <w:pPr>
              <w:pStyle w:val="a9"/>
              <w:jc w:val="center"/>
              <w:rPr>
                <w:rFonts w:ascii="Bookman Old Style" w:hAnsi="Bookman Old Style"/>
                <w:bCs/>
                <w:i/>
                <w:sz w:val="20"/>
                <w:szCs w:val="20"/>
                <w:lang w:val="uk-UA"/>
              </w:rPr>
            </w:pPr>
            <w:r w:rsidRPr="000A53CB">
              <w:rPr>
                <w:rFonts w:ascii="Bookman Old Style" w:hAnsi="Bookman Old Style"/>
                <w:bCs/>
                <w:i/>
                <w:sz w:val="20"/>
                <w:szCs w:val="20"/>
                <w:lang w:val="uk-UA"/>
              </w:rPr>
              <w:t>Було</w:t>
            </w:r>
          </w:p>
        </w:tc>
        <w:tc>
          <w:tcPr>
            <w:tcW w:w="941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0A53CB" w:rsidRPr="000A53CB" w:rsidRDefault="000A53CB" w:rsidP="005B021F">
            <w:pPr>
              <w:pStyle w:val="a9"/>
              <w:jc w:val="center"/>
              <w:rPr>
                <w:rFonts w:ascii="Bookman Old Style" w:hAnsi="Bookman Old Style"/>
                <w:bCs/>
                <w:i/>
                <w:sz w:val="20"/>
                <w:szCs w:val="20"/>
                <w:lang w:val="uk-UA"/>
              </w:rPr>
            </w:pPr>
            <w:r w:rsidRPr="000A53CB">
              <w:rPr>
                <w:rFonts w:ascii="Bookman Old Style" w:hAnsi="Bookman Old Style"/>
                <w:bCs/>
                <w:i/>
                <w:sz w:val="20"/>
                <w:szCs w:val="20"/>
                <w:lang w:val="uk-UA"/>
              </w:rPr>
              <w:t>Стало</w:t>
            </w:r>
          </w:p>
        </w:tc>
      </w:tr>
      <w:tr w:rsidR="000A53CB" w:rsidRPr="00344021" w:rsidTr="00D2006E">
        <w:tc>
          <w:tcPr>
            <w:tcW w:w="992" w:type="dxa"/>
            <w:tcBorders>
              <w:left w:val="single" w:sz="2" w:space="0" w:color="000000"/>
              <w:bottom w:val="single" w:sz="2" w:space="0" w:color="000000"/>
            </w:tcBorders>
            <w:shd w:val="clear" w:color="auto" w:fill="auto"/>
            <w:tcMar>
              <w:left w:w="54" w:type="dxa"/>
            </w:tcMar>
          </w:tcPr>
          <w:p w:rsidR="000A53CB" w:rsidRPr="00344021" w:rsidRDefault="000A53CB" w:rsidP="005B021F">
            <w:pPr>
              <w:pStyle w:val="a9"/>
              <w:rPr>
                <w:rFonts w:ascii="Bookman Old Style" w:hAnsi="Bookman Old Style"/>
                <w:b/>
                <w:bCs/>
                <w:sz w:val="22"/>
                <w:szCs w:val="22"/>
                <w:lang w:val="uk-UA"/>
              </w:rPr>
            </w:pPr>
            <w:r w:rsidRPr="00344021">
              <w:rPr>
                <w:rFonts w:ascii="Bookman Old Style" w:hAnsi="Bookman Old Style"/>
                <w:b/>
                <w:bCs/>
                <w:sz w:val="22"/>
                <w:szCs w:val="22"/>
                <w:lang w:val="uk-UA"/>
              </w:rPr>
              <w:t xml:space="preserve">ЦПК </w:t>
            </w:r>
          </w:p>
        </w:tc>
        <w:tc>
          <w:tcPr>
            <w:tcW w:w="4110" w:type="dxa"/>
            <w:tcBorders>
              <w:left w:val="single" w:sz="2" w:space="0" w:color="000000"/>
              <w:bottom w:val="single" w:sz="2" w:space="0" w:color="000000"/>
            </w:tcBorders>
            <w:shd w:val="clear" w:color="auto" w:fill="auto"/>
            <w:tcMar>
              <w:left w:w="54" w:type="dxa"/>
            </w:tcMar>
          </w:tcPr>
          <w:p w:rsidR="00D2006E" w:rsidRPr="00344021" w:rsidRDefault="00D2006E" w:rsidP="00D2006E">
            <w:pPr>
              <w:pStyle w:val="ab"/>
              <w:spacing w:after="0" w:line="240" w:lineRule="auto"/>
              <w:jc w:val="both"/>
              <w:rPr>
                <w:rFonts w:ascii="Bookman Old Style" w:hAnsi="Bookman Old Style"/>
                <w:color w:val="000000"/>
                <w:sz w:val="19"/>
                <w:szCs w:val="19"/>
                <w:lang w:val="uk-UA"/>
              </w:rPr>
            </w:pPr>
            <w:r w:rsidRPr="00344021">
              <w:rPr>
                <w:rFonts w:ascii="Bookman Old Style" w:hAnsi="Bookman Old Style"/>
                <w:color w:val="000000"/>
                <w:sz w:val="19"/>
                <w:szCs w:val="19"/>
                <w:lang w:val="uk-UA"/>
              </w:rPr>
              <w:t>- не усунені заявником недоліки заяви про видачу судового наказу у встановлений судом строк;</w:t>
            </w:r>
          </w:p>
          <w:p w:rsidR="00D2006E" w:rsidRPr="00344021" w:rsidRDefault="00D2006E" w:rsidP="00D2006E">
            <w:pPr>
              <w:pStyle w:val="ab"/>
              <w:spacing w:after="0" w:line="240" w:lineRule="auto"/>
              <w:jc w:val="both"/>
              <w:rPr>
                <w:rFonts w:ascii="Bookman Old Style" w:hAnsi="Bookman Old Style"/>
                <w:color w:val="000000"/>
                <w:sz w:val="19"/>
                <w:szCs w:val="19"/>
                <w:lang w:val="uk-UA"/>
              </w:rPr>
            </w:pPr>
            <w:r w:rsidRPr="00344021">
              <w:rPr>
                <w:rFonts w:ascii="Bookman Old Style" w:hAnsi="Bookman Old Style"/>
                <w:color w:val="000000"/>
                <w:sz w:val="19"/>
                <w:szCs w:val="19"/>
                <w:lang w:val="uk-UA"/>
              </w:rPr>
              <w:t>- звернення заявника  про повернення заяви про видачу судового наказу до моменту відкриття провадження;</w:t>
            </w:r>
          </w:p>
          <w:p w:rsidR="00D2006E" w:rsidRPr="00344021" w:rsidRDefault="00D2006E" w:rsidP="00D2006E">
            <w:pPr>
              <w:pStyle w:val="ab"/>
              <w:spacing w:after="0" w:line="240" w:lineRule="auto"/>
              <w:jc w:val="both"/>
              <w:rPr>
                <w:rFonts w:ascii="Bookman Old Style" w:hAnsi="Bookman Old Style"/>
                <w:color w:val="000000"/>
                <w:sz w:val="19"/>
                <w:szCs w:val="19"/>
                <w:lang w:val="uk-UA"/>
              </w:rPr>
            </w:pPr>
            <w:r w:rsidRPr="00344021">
              <w:rPr>
                <w:rFonts w:ascii="Bookman Old Style" w:hAnsi="Bookman Old Style"/>
                <w:color w:val="000000"/>
                <w:sz w:val="19"/>
                <w:szCs w:val="19"/>
                <w:lang w:val="uk-UA"/>
              </w:rPr>
              <w:t>- заяву про видачу судового наказу подано недієздатною особою;</w:t>
            </w:r>
            <w:r w:rsidRPr="00344021">
              <w:rPr>
                <w:rFonts w:ascii="Bookman Old Style" w:hAnsi="Bookman Old Style"/>
                <w:color w:val="000000"/>
                <w:sz w:val="19"/>
                <w:szCs w:val="19"/>
                <w:lang w:val="uk-UA"/>
              </w:rPr>
              <w:br/>
              <w:t>- заяву від імені заявника подано особою, яка не має повноважень на ведення справи;</w:t>
            </w:r>
          </w:p>
          <w:p w:rsidR="000A53CB" w:rsidRPr="000A53CB" w:rsidRDefault="00D2006E" w:rsidP="00D2006E">
            <w:pPr>
              <w:pStyle w:val="ab"/>
              <w:spacing w:after="0" w:line="240" w:lineRule="auto"/>
              <w:jc w:val="both"/>
              <w:rPr>
                <w:rFonts w:ascii="Bookman Old Style" w:hAnsi="Bookman Old Style"/>
                <w:sz w:val="18"/>
                <w:szCs w:val="18"/>
                <w:lang w:val="uk-UA"/>
              </w:rPr>
            </w:pPr>
            <w:r w:rsidRPr="00344021">
              <w:rPr>
                <w:rFonts w:ascii="Bookman Old Style" w:hAnsi="Bookman Old Style"/>
                <w:color w:val="000000"/>
                <w:sz w:val="19"/>
                <w:szCs w:val="19"/>
                <w:lang w:val="uk-UA"/>
              </w:rPr>
              <w:t>- справа не підсудна цьому суду.</w:t>
            </w:r>
          </w:p>
        </w:tc>
        <w:tc>
          <w:tcPr>
            <w:tcW w:w="9418" w:type="dxa"/>
            <w:tcBorders>
              <w:left w:val="single" w:sz="2" w:space="0" w:color="000000"/>
              <w:bottom w:val="single" w:sz="2" w:space="0" w:color="000000"/>
              <w:right w:val="single" w:sz="2" w:space="0" w:color="000000"/>
            </w:tcBorders>
            <w:shd w:val="clear" w:color="auto" w:fill="auto"/>
            <w:tcMar>
              <w:left w:w="54" w:type="dxa"/>
            </w:tcMar>
          </w:tcPr>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sz w:val="19"/>
                <w:szCs w:val="19"/>
                <w:lang w:val="uk-UA"/>
              </w:rPr>
              <w:t>- заява подана з порушенням вимог щодо форми і змісту заяви про видачу судового наказу;</w:t>
            </w:r>
          </w:p>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sz w:val="19"/>
                <w:szCs w:val="19"/>
                <w:lang w:val="uk-UA"/>
              </w:rPr>
              <w:t>- заяву подано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w:t>
            </w:r>
          </w:p>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sz w:val="19"/>
                <w:szCs w:val="19"/>
                <w:lang w:val="uk-UA"/>
              </w:rPr>
              <w:t>- заявлена вимога не відповідає вимогам, за якими може бути видано судовий наказ;</w:t>
            </w:r>
          </w:p>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sz w:val="19"/>
                <w:szCs w:val="19"/>
                <w:lang w:val="uk-UA"/>
              </w:rPr>
              <w:t>- заява не підлягає розгляду в порядку цивільного судочинства;</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існує рішення чи ухвала суду про закриття провадження у справі між тими самими сторонами, про той самий предмет і з тих самих підстав, або є судовий наказ, що набрав законної сили за тими самими вимогами набрало законної сили;</w:t>
            </w:r>
          </w:p>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b/>
                <w:sz w:val="19"/>
                <w:szCs w:val="19"/>
                <w:lang w:val="uk-UA"/>
              </w:rPr>
              <w:t>-</w:t>
            </w:r>
            <w:r w:rsidRPr="00344021">
              <w:rPr>
                <w:rFonts w:ascii="Bookman Old Style" w:hAnsi="Bookman Old Style"/>
                <w:sz w:val="19"/>
                <w:szCs w:val="19"/>
                <w:lang w:val="uk-UA"/>
              </w:rPr>
              <w:t xml:space="preserve">  </w:t>
            </w:r>
            <w:r w:rsidRPr="00344021">
              <w:rPr>
                <w:rFonts w:ascii="Bookman Old Style" w:hAnsi="Bookman Old Style"/>
                <w:b/>
                <w:i/>
                <w:sz w:val="19"/>
                <w:szCs w:val="19"/>
                <w:lang w:val="uk-UA"/>
              </w:rPr>
              <w:t>у провадженні цього чи іншого суду є справа із спору між тими самими сторонами, про той самий предмет і з тих самих підстав;</w:t>
            </w:r>
          </w:p>
          <w:p w:rsidR="00D2006E" w:rsidRPr="00344021" w:rsidRDefault="00D2006E" w:rsidP="00D2006E">
            <w:pPr>
              <w:pStyle w:val="a9"/>
              <w:jc w:val="both"/>
              <w:rPr>
                <w:rFonts w:ascii="Bookman Old Style" w:hAnsi="Bookman Old Style"/>
                <w:sz w:val="19"/>
                <w:szCs w:val="19"/>
                <w:lang w:val="uk-UA"/>
              </w:rPr>
            </w:pPr>
            <w:r w:rsidRPr="00344021">
              <w:rPr>
                <w:rFonts w:ascii="Bookman Old Style" w:hAnsi="Bookman Old Style"/>
                <w:b/>
                <w:sz w:val="19"/>
                <w:szCs w:val="19"/>
                <w:lang w:val="uk-UA"/>
              </w:rPr>
              <w:t>-</w:t>
            </w:r>
            <w:r w:rsidRPr="00344021">
              <w:rPr>
                <w:rFonts w:ascii="Bookman Old Style" w:hAnsi="Bookman Old Style"/>
                <w:sz w:val="19"/>
                <w:szCs w:val="19"/>
                <w:lang w:val="uk-UA"/>
              </w:rPr>
              <w:t xml:space="preserve"> </w:t>
            </w:r>
            <w:r w:rsidRPr="00344021">
              <w:rPr>
                <w:rFonts w:ascii="Bookman Old Style" w:hAnsi="Bookman Old Style"/>
                <w:b/>
                <w:i/>
                <w:sz w:val="19"/>
                <w:szCs w:val="19"/>
                <w:lang w:val="uk-UA"/>
              </w:rPr>
              <w:t>є рішення третейського суду, прийняте в межах його компетенції, щодо спору між тими самими сторонами, про той самий предмет і з тих самих підстав, за винятком випадків, коли суд відмовив у видачі виконавчого листа на примусове виконання рішення третейського суду або скасував рішення третейського суду і розгляд справи в тому ж третейському суді виявився неможливим;</w:t>
            </w:r>
            <w:r w:rsidRPr="00344021">
              <w:rPr>
                <w:rFonts w:ascii="Bookman Old Style" w:hAnsi="Bookman Old Style"/>
                <w:sz w:val="19"/>
                <w:szCs w:val="19"/>
                <w:lang w:val="uk-UA"/>
              </w:rPr>
              <w:t xml:space="preserve"> </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є рішення суду іноземної держави, визнане в Україні в установленому законом порядку, щодо спору між тими самими сторонами, про той самий предмет і з тих саме підстав;</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настала смерть фізичної особи або оголошено її померлою чи припинено юридичну особу, які звернулися із позовною заявою або до яких пред'явлено позов, якщо спірні правовідносини не допускають правонаступництва;</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з моменту виникнення права вимоги пройшов строк, який перевищує позовну давність, встановлену законом для такої вимоги, або пройшов строк, встановлений законом для пред'явлення позову до суду за такою вимогою;</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судом раніше виданий судовий наказ за тими самими вимогами, за якими заявник просить видати судовий наказ;</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судом раніше відмовлено у видачі судового наказу у зв’язку  з порушенням вимог щодо форми і змісту заяви про видачу судового наказу, подачею заяви особою, яка не має процесуальної дієздатності, не підписано або підписано особою, яка не має права її підписувати, або особою, посадове становище якої не вказано, не відповідністю вимоги переліку вимогам, за якими може бути видано судовий наказ;</w:t>
            </w:r>
          </w:p>
          <w:p w:rsidR="00D2006E" w:rsidRPr="00344021" w:rsidRDefault="00D2006E" w:rsidP="00D2006E">
            <w:pPr>
              <w:pStyle w:val="a9"/>
              <w:jc w:val="both"/>
              <w:rPr>
                <w:rFonts w:ascii="Bookman Old Style" w:hAnsi="Bookman Old Style"/>
                <w:b/>
                <w:i/>
                <w:sz w:val="19"/>
                <w:szCs w:val="19"/>
                <w:lang w:val="uk-UA"/>
              </w:rPr>
            </w:pPr>
            <w:r w:rsidRPr="00344021">
              <w:rPr>
                <w:rFonts w:ascii="Bookman Old Style" w:hAnsi="Bookman Old Style"/>
                <w:b/>
                <w:i/>
                <w:sz w:val="19"/>
                <w:szCs w:val="19"/>
                <w:lang w:val="uk-UA"/>
              </w:rPr>
              <w:t>- із поданої заяви не вбачається виникнення або порушення права грошової вимоги, за якою заявником подано заяву про видачу судового наказу;</w:t>
            </w:r>
          </w:p>
          <w:p w:rsidR="000A53CB" w:rsidRPr="000A53CB" w:rsidRDefault="00D2006E" w:rsidP="00D2006E">
            <w:pPr>
              <w:pStyle w:val="a9"/>
              <w:jc w:val="both"/>
              <w:rPr>
                <w:rFonts w:ascii="Bookman Old Style" w:hAnsi="Bookman Old Style"/>
                <w:i/>
                <w:iCs/>
                <w:sz w:val="18"/>
                <w:szCs w:val="18"/>
                <w:lang w:val="uk-UA"/>
              </w:rPr>
            </w:pPr>
            <w:r w:rsidRPr="00344021">
              <w:rPr>
                <w:rFonts w:ascii="Bookman Old Style" w:hAnsi="Bookman Old Style"/>
                <w:sz w:val="19"/>
                <w:szCs w:val="19"/>
                <w:lang w:val="uk-UA"/>
              </w:rPr>
              <w:t>- заяву подано з порушенням правил підсудності.</w:t>
            </w:r>
          </w:p>
        </w:tc>
      </w:tr>
      <w:tr w:rsidR="000A53CB" w:rsidRPr="00344021" w:rsidTr="00D2006E">
        <w:tc>
          <w:tcPr>
            <w:tcW w:w="992" w:type="dxa"/>
            <w:tcBorders>
              <w:left w:val="single" w:sz="2" w:space="0" w:color="000000"/>
              <w:bottom w:val="single" w:sz="2" w:space="0" w:color="000000"/>
            </w:tcBorders>
            <w:shd w:val="clear" w:color="auto" w:fill="auto"/>
            <w:tcMar>
              <w:left w:w="54" w:type="dxa"/>
            </w:tcMar>
          </w:tcPr>
          <w:p w:rsidR="000A53CB" w:rsidRPr="00344021" w:rsidRDefault="000A53CB" w:rsidP="005B021F">
            <w:pPr>
              <w:pStyle w:val="a9"/>
              <w:rPr>
                <w:rFonts w:ascii="Bookman Old Style" w:hAnsi="Bookman Old Style"/>
                <w:b/>
                <w:bCs/>
                <w:sz w:val="22"/>
                <w:szCs w:val="22"/>
                <w:lang w:val="uk-UA"/>
              </w:rPr>
            </w:pPr>
            <w:r w:rsidRPr="00344021">
              <w:rPr>
                <w:rFonts w:ascii="Bookman Old Style" w:hAnsi="Bookman Old Style"/>
                <w:b/>
                <w:bCs/>
                <w:sz w:val="22"/>
                <w:szCs w:val="22"/>
                <w:lang w:val="uk-UA"/>
              </w:rPr>
              <w:t>ГПК</w:t>
            </w:r>
          </w:p>
          <w:p w:rsidR="000A53CB" w:rsidRPr="00344021" w:rsidRDefault="000A53CB" w:rsidP="005B021F">
            <w:pPr>
              <w:pStyle w:val="a9"/>
              <w:rPr>
                <w:rFonts w:ascii="Bookman Old Style" w:hAnsi="Bookman Old Style"/>
                <w:b/>
                <w:bCs/>
                <w:sz w:val="22"/>
                <w:szCs w:val="22"/>
                <w:lang w:val="uk-UA"/>
              </w:rPr>
            </w:pPr>
          </w:p>
        </w:tc>
        <w:tc>
          <w:tcPr>
            <w:tcW w:w="4110" w:type="dxa"/>
            <w:tcBorders>
              <w:left w:val="single" w:sz="2" w:space="0" w:color="000000"/>
              <w:bottom w:val="single" w:sz="2" w:space="0" w:color="000000"/>
            </w:tcBorders>
            <w:shd w:val="clear" w:color="auto" w:fill="auto"/>
            <w:tcMar>
              <w:left w:w="54" w:type="dxa"/>
            </w:tcMar>
          </w:tcPr>
          <w:p w:rsidR="000A53CB" w:rsidRPr="00344021" w:rsidRDefault="00D2006E" w:rsidP="005B021F">
            <w:pPr>
              <w:pStyle w:val="a9"/>
              <w:rPr>
                <w:rFonts w:ascii="Bookman Old Style" w:hAnsi="Bookman Old Style"/>
                <w:sz w:val="20"/>
                <w:szCs w:val="20"/>
                <w:lang w:val="uk-UA"/>
              </w:rPr>
            </w:pPr>
            <w:r w:rsidRPr="00344021">
              <w:rPr>
                <w:rFonts w:ascii="Bookman Old Style" w:hAnsi="Bookman Old Style"/>
                <w:iCs/>
                <w:sz w:val="19"/>
                <w:szCs w:val="19"/>
                <w:lang w:val="uk-UA"/>
              </w:rPr>
              <w:t>Відсутня дана форма судочинства.</w:t>
            </w:r>
          </w:p>
        </w:tc>
        <w:tc>
          <w:tcPr>
            <w:tcW w:w="9418" w:type="dxa"/>
            <w:tcBorders>
              <w:left w:val="single" w:sz="2" w:space="0" w:color="000000"/>
              <w:bottom w:val="single" w:sz="2" w:space="0" w:color="000000"/>
              <w:right w:val="single" w:sz="2" w:space="0" w:color="000000"/>
            </w:tcBorders>
            <w:shd w:val="clear" w:color="auto" w:fill="auto"/>
            <w:tcMar>
              <w:left w:w="54" w:type="dxa"/>
            </w:tcMar>
          </w:tcPr>
          <w:p w:rsidR="000A53CB" w:rsidRPr="00344021" w:rsidRDefault="00D2006E" w:rsidP="005B021F">
            <w:pPr>
              <w:pStyle w:val="a9"/>
              <w:jc w:val="both"/>
              <w:rPr>
                <w:rFonts w:ascii="Bookman Old Style" w:hAnsi="Bookman Old Style"/>
                <w:b/>
                <w:i/>
                <w:sz w:val="20"/>
                <w:szCs w:val="20"/>
                <w:lang w:val="uk-UA"/>
              </w:rPr>
            </w:pPr>
            <w:r w:rsidRPr="00344021">
              <w:rPr>
                <w:rFonts w:ascii="Bookman Old Style" w:hAnsi="Bookman Old Style"/>
                <w:b/>
                <w:i/>
                <w:iCs/>
                <w:sz w:val="19"/>
                <w:szCs w:val="19"/>
                <w:lang w:val="uk-UA"/>
              </w:rPr>
              <w:t>Підстави для відмови у видачі судового наказу дублюють підстави перелічені в ЦПК з урахуванням деяких особливостей господарського судочинства.</w:t>
            </w:r>
          </w:p>
        </w:tc>
      </w:tr>
    </w:tbl>
    <w:p w:rsidR="00FA0DA1" w:rsidRPr="00821B15" w:rsidRDefault="00FA0DA1" w:rsidP="00821B15">
      <w:pPr>
        <w:rPr>
          <w:sz w:val="16"/>
          <w:szCs w:val="16"/>
          <w:vertAlign w:val="superscript"/>
          <w:lang w:val="uk-UA"/>
        </w:rPr>
      </w:pPr>
    </w:p>
    <w:sectPr w:rsidR="00FA0DA1" w:rsidRPr="00821B15" w:rsidSect="00821B15">
      <w:headerReference w:type="default" r:id="rId8"/>
      <w:footerReference w:type="default" r:id="rId9"/>
      <w:pgSz w:w="16838" w:h="11906" w:orient="landscape"/>
      <w:pgMar w:top="1415" w:right="1134" w:bottom="1135" w:left="1134" w:header="855"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6C4" w:rsidRDefault="007D46C4" w:rsidP="001D748D">
      <w:pPr>
        <w:spacing w:after="0" w:line="240" w:lineRule="auto"/>
      </w:pPr>
      <w:r>
        <w:separator/>
      </w:r>
    </w:p>
  </w:endnote>
  <w:endnote w:type="continuationSeparator" w:id="1">
    <w:p w:rsidR="007D46C4" w:rsidRDefault="007D46C4" w:rsidP="001D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1D748D" w:rsidP="00821B15">
    <w:pPr>
      <w:pStyle w:val="a6"/>
      <w:jc w:val="right"/>
      <w:rPr>
        <w:lang w:val="uk-UA"/>
      </w:rPr>
    </w:pPr>
    <w:r w:rsidRPr="0033140D">
      <w:rPr>
        <w:lang w:val="uk-UA"/>
      </w:rPr>
      <w:t xml:space="preserve">© </w:t>
    </w:r>
    <w:hyperlink r:id="rId1" w:history="1">
      <w:r w:rsidRPr="0033140D">
        <w:rPr>
          <w:lang w:val="uk-UA"/>
        </w:rPr>
        <w:t xml:space="preserve"> Адвокатське об'єднання «</w:t>
      </w:r>
      <w:r w:rsidRPr="0033140D">
        <w:rPr>
          <w:rStyle w:val="a8"/>
          <w:lang w:val="uk-UA"/>
        </w:rPr>
        <w:t>Letrado</w:t>
      </w:r>
    </w:hyperlink>
    <w:r w:rsidRPr="0033140D">
      <w:rPr>
        <w:lang w:val="uk-UA"/>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6C4" w:rsidRDefault="007D46C4" w:rsidP="001D748D">
      <w:pPr>
        <w:spacing w:after="0" w:line="240" w:lineRule="auto"/>
      </w:pPr>
      <w:r>
        <w:separator/>
      </w:r>
    </w:p>
  </w:footnote>
  <w:footnote w:type="continuationSeparator" w:id="1">
    <w:p w:rsidR="007D46C4" w:rsidRDefault="007D46C4" w:rsidP="001D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33140D" w:rsidRDefault="00B73969" w:rsidP="00B73969">
    <w:pPr>
      <w:pStyle w:val="a4"/>
      <w:jc w:val="right"/>
      <w:rPr>
        <w:rFonts w:ascii="Bookman Old Style" w:hAnsi="Bookman Old Style"/>
        <w:lang w:val="uk-UA"/>
      </w:rPr>
    </w:pPr>
    <w:r w:rsidRPr="0033140D">
      <w:rPr>
        <w:rStyle w:val="xfm82484111"/>
        <w:rFonts w:ascii="Bookman Old Style" w:hAnsi="Bookman Old Style"/>
        <w:lang w:val="uk-UA"/>
      </w:rPr>
      <w:t>Розгляд в першій інстанції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082E"/>
    <w:multiLevelType w:val="hybridMultilevel"/>
    <w:tmpl w:val="EC3E8A34"/>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58F26C2"/>
    <w:multiLevelType w:val="hybridMultilevel"/>
    <w:tmpl w:val="34ACF57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B2F0218"/>
    <w:multiLevelType w:val="hybridMultilevel"/>
    <w:tmpl w:val="1C287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48D"/>
    <w:rsid w:val="000A53CB"/>
    <w:rsid w:val="001D748D"/>
    <w:rsid w:val="0033140D"/>
    <w:rsid w:val="004819E6"/>
    <w:rsid w:val="00674827"/>
    <w:rsid w:val="006A7274"/>
    <w:rsid w:val="007852E4"/>
    <w:rsid w:val="007D46C4"/>
    <w:rsid w:val="0080018E"/>
    <w:rsid w:val="00821B15"/>
    <w:rsid w:val="0086060B"/>
    <w:rsid w:val="00A94C22"/>
    <w:rsid w:val="00AA3B13"/>
    <w:rsid w:val="00B73969"/>
    <w:rsid w:val="00BB4118"/>
    <w:rsid w:val="00C87C89"/>
    <w:rsid w:val="00D2006E"/>
    <w:rsid w:val="00FA0DA1"/>
    <w:rsid w:val="00FA5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D7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48D"/>
    <w:rPr>
      <w:rFonts w:eastAsiaTheme="minorEastAsia"/>
      <w:lang w:eastAsia="ru-RU"/>
    </w:rPr>
  </w:style>
  <w:style w:type="paragraph" w:styleId="a6">
    <w:name w:val="footer"/>
    <w:basedOn w:val="a"/>
    <w:link w:val="a7"/>
    <w:uiPriority w:val="99"/>
    <w:semiHidden/>
    <w:unhideWhenUsed/>
    <w:rsid w:val="001D7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48D"/>
    <w:rPr>
      <w:rFonts w:eastAsiaTheme="minorEastAsia"/>
      <w:lang w:eastAsia="ru-RU"/>
    </w:rPr>
  </w:style>
  <w:style w:type="character" w:styleId="a8">
    <w:name w:val="Hyperlink"/>
    <w:basedOn w:val="a0"/>
    <w:uiPriority w:val="99"/>
    <w:unhideWhenUsed/>
    <w:rsid w:val="001D748D"/>
    <w:rPr>
      <w:color w:val="0000FF" w:themeColor="hyperlink"/>
      <w:u w:val="single"/>
    </w:rPr>
  </w:style>
  <w:style w:type="paragraph" w:customStyle="1" w:styleId="a9">
    <w:name w:val="Содержимое таблицы"/>
    <w:basedOn w:val="a"/>
    <w:qFormat/>
    <w:rsid w:val="00B73969"/>
    <w:pPr>
      <w:suppressLineNumbers/>
      <w:spacing w:after="0" w:line="240" w:lineRule="auto"/>
    </w:pPr>
    <w:rPr>
      <w:rFonts w:ascii="Liberation Serif" w:eastAsia="Noto Sans CJK SC Regular" w:hAnsi="Liberation Serif" w:cs="FreeSans"/>
      <w:sz w:val="24"/>
      <w:szCs w:val="24"/>
      <w:lang w:eastAsia="zh-CN" w:bidi="hi-IN"/>
    </w:rPr>
  </w:style>
  <w:style w:type="character" w:customStyle="1" w:styleId="xfm82484111">
    <w:name w:val="xfm_82484111"/>
    <w:basedOn w:val="a0"/>
    <w:rsid w:val="00B73969"/>
  </w:style>
  <w:style w:type="paragraph" w:styleId="1">
    <w:name w:val="index 1"/>
    <w:basedOn w:val="a"/>
    <w:next w:val="a"/>
    <w:autoRedefine/>
    <w:uiPriority w:val="99"/>
    <w:semiHidden/>
    <w:unhideWhenUsed/>
    <w:rsid w:val="00D2006E"/>
    <w:pPr>
      <w:spacing w:after="0" w:line="240" w:lineRule="auto"/>
      <w:ind w:left="220" w:hanging="220"/>
    </w:pPr>
  </w:style>
  <w:style w:type="paragraph" w:styleId="aa">
    <w:name w:val="index heading"/>
    <w:basedOn w:val="a"/>
    <w:qFormat/>
    <w:rsid w:val="00D2006E"/>
    <w:pPr>
      <w:suppressLineNumbers/>
      <w:spacing w:after="0" w:line="240" w:lineRule="auto"/>
    </w:pPr>
    <w:rPr>
      <w:rFonts w:ascii="Liberation Serif" w:eastAsia="Noto Sans CJK SC Regular" w:hAnsi="Liberation Serif" w:cs="FreeSans"/>
      <w:sz w:val="24"/>
      <w:szCs w:val="24"/>
      <w:lang w:eastAsia="zh-CN" w:bidi="hi-IN"/>
    </w:rPr>
  </w:style>
  <w:style w:type="paragraph" w:styleId="ab">
    <w:name w:val="Body Text"/>
    <w:basedOn w:val="a"/>
    <w:link w:val="ac"/>
    <w:rsid w:val="00D2006E"/>
    <w:pPr>
      <w:spacing w:after="140" w:line="288" w:lineRule="auto"/>
    </w:pPr>
    <w:rPr>
      <w:rFonts w:ascii="Liberation Serif" w:eastAsia="Noto Sans CJK SC Regular" w:hAnsi="Liberation Serif" w:cs="FreeSans"/>
      <w:sz w:val="24"/>
      <w:szCs w:val="24"/>
      <w:lang w:eastAsia="zh-CN" w:bidi="hi-IN"/>
    </w:rPr>
  </w:style>
  <w:style w:type="character" w:customStyle="1" w:styleId="ac">
    <w:name w:val="Основной текст Знак"/>
    <w:basedOn w:val="a0"/>
    <w:link w:val="ab"/>
    <w:rsid w:val="00D2006E"/>
    <w:rPr>
      <w:rFonts w:ascii="Liberation Serif" w:eastAsia="Noto Sans CJK SC Regular" w:hAnsi="Liberation Serif" w:cs="FreeSans"/>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etrad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F44-DC25-45E2-A8A9-0CE080C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Letrado</dc:creator>
  <cp:lastModifiedBy>Пользователь</cp:lastModifiedBy>
  <cp:revision>4</cp:revision>
  <dcterms:created xsi:type="dcterms:W3CDTF">2017-12-14T03:51:00Z</dcterms:created>
  <dcterms:modified xsi:type="dcterms:W3CDTF">2018-01-10T13:38:00Z</dcterms:modified>
</cp:coreProperties>
</file>