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816" w:type="dxa"/>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4" w:type="dxa"/>
          <w:bottom w:w="55" w:type="dxa"/>
          <w:right w:w="55" w:type="dxa"/>
        </w:tblCellMar>
        <w:tblLook w:val="0000"/>
      </w:tblPr>
      <w:tblGrid>
        <w:gridCol w:w="2343"/>
        <w:gridCol w:w="4253"/>
        <w:gridCol w:w="3827"/>
        <w:gridCol w:w="4393"/>
      </w:tblGrid>
      <w:tr w:rsidR="001902B1" w:rsidRPr="00BF1E11" w:rsidTr="001902B1">
        <w:trPr>
          <w:trHeight w:val="223"/>
        </w:trPr>
        <w:tc>
          <w:tcPr>
            <w:tcW w:w="2343" w:type="dxa"/>
            <w:vMerge w:val="restart"/>
            <w:tcBorders>
              <w:top w:val="single" w:sz="2" w:space="0" w:color="000000"/>
              <w:left w:val="single" w:sz="2" w:space="0" w:color="000000"/>
              <w:right w:val="single" w:sz="2" w:space="0" w:color="000000"/>
            </w:tcBorders>
            <w:vAlign w:val="center"/>
          </w:tcPr>
          <w:p w:rsidR="001902B1" w:rsidRPr="001902B1" w:rsidRDefault="001902B1" w:rsidP="001902B1">
            <w:pPr>
              <w:pStyle w:val="a9"/>
              <w:rPr>
                <w:rFonts w:ascii="Bookman Old Style" w:hAnsi="Bookman Old Style"/>
                <w:b/>
                <w:bCs/>
                <w:sz w:val="22"/>
                <w:szCs w:val="22"/>
                <w:lang w:val="uk-UA"/>
              </w:rPr>
            </w:pPr>
            <w:r w:rsidRPr="001902B1">
              <w:rPr>
                <w:rFonts w:ascii="Bookman Old Style" w:hAnsi="Bookman Old Style"/>
                <w:sz w:val="22"/>
                <w:szCs w:val="22"/>
                <w:lang w:val="uk-UA"/>
              </w:rPr>
              <w:t>Таблиця №7</w:t>
            </w:r>
          </w:p>
        </w:tc>
        <w:tc>
          <w:tcPr>
            <w:tcW w:w="12473" w:type="dxa"/>
            <w:gridSpan w:val="3"/>
            <w:tcBorders>
              <w:top w:val="single" w:sz="2" w:space="0" w:color="000000"/>
              <w:left w:val="single" w:sz="2" w:space="0" w:color="000000"/>
              <w:bottom w:val="single" w:sz="2" w:space="0" w:color="000000"/>
              <w:right w:val="single" w:sz="2" w:space="0" w:color="000000"/>
            </w:tcBorders>
          </w:tcPr>
          <w:p w:rsidR="001902B1" w:rsidRPr="00BF1E11" w:rsidRDefault="001902B1" w:rsidP="005B021F">
            <w:pPr>
              <w:pStyle w:val="a9"/>
              <w:jc w:val="center"/>
              <w:rPr>
                <w:rFonts w:ascii="Bookman Old Style" w:hAnsi="Bookman Old Style"/>
                <w:b/>
                <w:bCs/>
                <w:sz w:val="22"/>
                <w:szCs w:val="22"/>
                <w:lang w:val="uk-UA"/>
              </w:rPr>
            </w:pPr>
            <w:r w:rsidRPr="00BF1E11">
              <w:rPr>
                <w:rFonts w:ascii="Bookman Old Style" w:hAnsi="Bookman Old Style"/>
                <w:b/>
                <w:bCs/>
                <w:sz w:val="22"/>
                <w:szCs w:val="22"/>
                <w:lang w:val="uk-UA"/>
              </w:rPr>
              <w:t>СПРОЩЕНЕ ПОЗОВНЕ ПРОВАДЖЕННЯ</w:t>
            </w:r>
          </w:p>
        </w:tc>
      </w:tr>
      <w:tr w:rsidR="001902B1" w:rsidRPr="00BF1E11" w:rsidTr="001902B1">
        <w:trPr>
          <w:trHeight w:val="312"/>
        </w:trPr>
        <w:tc>
          <w:tcPr>
            <w:tcW w:w="2343" w:type="dxa"/>
            <w:vMerge/>
            <w:tcBorders>
              <w:left w:val="single" w:sz="2" w:space="0" w:color="000000"/>
              <w:bottom w:val="single" w:sz="2" w:space="0" w:color="000000"/>
              <w:right w:val="single" w:sz="2" w:space="0" w:color="000000"/>
            </w:tcBorders>
          </w:tcPr>
          <w:p w:rsidR="001902B1" w:rsidRPr="00BF1E11" w:rsidRDefault="001902B1" w:rsidP="005B021F">
            <w:pPr>
              <w:pStyle w:val="a9"/>
              <w:jc w:val="center"/>
              <w:rPr>
                <w:rFonts w:ascii="Bookman Old Style" w:hAnsi="Bookman Old Style"/>
                <w:bCs/>
                <w:sz w:val="22"/>
                <w:szCs w:val="22"/>
                <w:lang w:val="uk-UA"/>
              </w:rPr>
            </w:pPr>
          </w:p>
        </w:tc>
        <w:tc>
          <w:tcPr>
            <w:tcW w:w="4253" w:type="dxa"/>
            <w:tcBorders>
              <w:left w:val="single" w:sz="2" w:space="0" w:color="000000"/>
              <w:bottom w:val="single" w:sz="2" w:space="0" w:color="000000"/>
            </w:tcBorders>
          </w:tcPr>
          <w:p w:rsidR="001902B1" w:rsidRPr="00BF1E11" w:rsidRDefault="001902B1" w:rsidP="005B021F">
            <w:pPr>
              <w:pStyle w:val="a9"/>
              <w:jc w:val="center"/>
              <w:rPr>
                <w:rFonts w:ascii="Bookman Old Style" w:hAnsi="Bookman Old Style"/>
                <w:bCs/>
                <w:sz w:val="22"/>
                <w:szCs w:val="22"/>
                <w:lang w:val="uk-UA"/>
              </w:rPr>
            </w:pPr>
            <w:r w:rsidRPr="00BF1E11">
              <w:rPr>
                <w:rFonts w:ascii="Bookman Old Style" w:hAnsi="Bookman Old Style"/>
                <w:bCs/>
                <w:sz w:val="22"/>
                <w:szCs w:val="22"/>
                <w:lang w:val="uk-UA"/>
              </w:rPr>
              <w:t>ЦПК</w:t>
            </w:r>
          </w:p>
        </w:tc>
        <w:tc>
          <w:tcPr>
            <w:tcW w:w="3827" w:type="dxa"/>
            <w:tcBorders>
              <w:left w:val="single" w:sz="2" w:space="0" w:color="000000"/>
              <w:bottom w:val="single" w:sz="2" w:space="0" w:color="000000"/>
            </w:tcBorders>
            <w:shd w:val="clear" w:color="auto" w:fill="auto"/>
            <w:tcMar>
              <w:left w:w="54" w:type="dxa"/>
            </w:tcMar>
          </w:tcPr>
          <w:p w:rsidR="001902B1" w:rsidRPr="00BF1E11" w:rsidRDefault="001902B1" w:rsidP="005B021F">
            <w:pPr>
              <w:pStyle w:val="a9"/>
              <w:jc w:val="center"/>
              <w:rPr>
                <w:rFonts w:ascii="Bookman Old Style" w:hAnsi="Bookman Old Style"/>
                <w:bCs/>
                <w:sz w:val="22"/>
                <w:szCs w:val="22"/>
                <w:lang w:val="uk-UA"/>
              </w:rPr>
            </w:pPr>
            <w:r w:rsidRPr="00BF1E11">
              <w:rPr>
                <w:rFonts w:ascii="Bookman Old Style" w:hAnsi="Bookman Old Style"/>
                <w:bCs/>
                <w:sz w:val="22"/>
                <w:szCs w:val="22"/>
                <w:lang w:val="uk-UA"/>
              </w:rPr>
              <w:t>ГПК</w:t>
            </w:r>
          </w:p>
        </w:tc>
        <w:tc>
          <w:tcPr>
            <w:tcW w:w="4393" w:type="dxa"/>
            <w:tcBorders>
              <w:left w:val="single" w:sz="2" w:space="0" w:color="000000"/>
              <w:bottom w:val="single" w:sz="2" w:space="0" w:color="000000"/>
              <w:right w:val="single" w:sz="2" w:space="0" w:color="000000"/>
            </w:tcBorders>
            <w:shd w:val="clear" w:color="auto" w:fill="auto"/>
            <w:tcMar>
              <w:left w:w="54" w:type="dxa"/>
            </w:tcMar>
          </w:tcPr>
          <w:p w:rsidR="001902B1" w:rsidRPr="00BF1E11" w:rsidRDefault="001902B1" w:rsidP="005B021F">
            <w:pPr>
              <w:pStyle w:val="a9"/>
              <w:ind w:left="720"/>
              <w:jc w:val="center"/>
              <w:rPr>
                <w:rFonts w:ascii="Bookman Old Style" w:hAnsi="Bookman Old Style"/>
                <w:bCs/>
                <w:sz w:val="22"/>
                <w:szCs w:val="22"/>
                <w:lang w:val="uk-UA"/>
              </w:rPr>
            </w:pPr>
            <w:r w:rsidRPr="00BF1E11">
              <w:rPr>
                <w:rFonts w:ascii="Bookman Old Style" w:hAnsi="Bookman Old Style"/>
                <w:bCs/>
                <w:sz w:val="22"/>
                <w:szCs w:val="22"/>
                <w:lang w:val="uk-UA"/>
              </w:rPr>
              <w:t>КАС</w:t>
            </w:r>
          </w:p>
        </w:tc>
      </w:tr>
      <w:tr w:rsidR="001902B1" w:rsidRPr="00FF3712" w:rsidTr="001902B1">
        <w:tc>
          <w:tcPr>
            <w:tcW w:w="2343" w:type="dxa"/>
            <w:vMerge w:val="restart"/>
            <w:tcBorders>
              <w:left w:val="single" w:sz="2" w:space="0" w:color="000000"/>
            </w:tcBorders>
          </w:tcPr>
          <w:p w:rsidR="001902B1" w:rsidRPr="00BF1E11" w:rsidRDefault="001902B1" w:rsidP="005B021F">
            <w:pPr>
              <w:pStyle w:val="a9"/>
              <w:jc w:val="center"/>
              <w:rPr>
                <w:rFonts w:ascii="Bookman Old Style" w:hAnsi="Bookman Old Style"/>
                <w:b/>
                <w:bCs/>
                <w:sz w:val="22"/>
                <w:szCs w:val="22"/>
                <w:lang w:val="uk-UA"/>
              </w:rPr>
            </w:pPr>
            <w:r w:rsidRPr="00BF1E11">
              <w:rPr>
                <w:rFonts w:ascii="Bookman Old Style" w:hAnsi="Bookman Old Style"/>
                <w:b/>
                <w:bCs/>
                <w:sz w:val="22"/>
                <w:szCs w:val="22"/>
                <w:lang w:val="uk-UA"/>
              </w:rPr>
              <w:t>Справи, що розглядаються</w:t>
            </w:r>
          </w:p>
          <w:p w:rsidR="001902B1" w:rsidRPr="00BF1E11" w:rsidRDefault="001902B1" w:rsidP="005B021F">
            <w:pPr>
              <w:pStyle w:val="a9"/>
              <w:jc w:val="center"/>
              <w:rPr>
                <w:rFonts w:ascii="Bookman Old Style" w:hAnsi="Bookman Old Style"/>
                <w:b/>
                <w:bCs/>
                <w:sz w:val="22"/>
                <w:szCs w:val="22"/>
                <w:lang w:val="uk-UA"/>
              </w:rPr>
            </w:pPr>
            <w:r w:rsidRPr="00BF1E11">
              <w:rPr>
                <w:rFonts w:ascii="Bookman Old Style" w:hAnsi="Bookman Old Style"/>
                <w:b/>
                <w:bCs/>
                <w:sz w:val="22"/>
                <w:szCs w:val="22"/>
                <w:lang w:val="uk-UA"/>
              </w:rPr>
              <w:t>у порядку спрощеного позовного провадження</w:t>
            </w:r>
          </w:p>
        </w:tc>
        <w:tc>
          <w:tcPr>
            <w:tcW w:w="8080" w:type="dxa"/>
            <w:gridSpan w:val="2"/>
            <w:tcBorders>
              <w:left w:val="single" w:sz="2" w:space="0" w:color="000000"/>
              <w:bottom w:val="single" w:sz="2" w:space="0" w:color="000000"/>
            </w:tcBorders>
            <w:shd w:val="clear" w:color="auto" w:fill="auto"/>
            <w:tcMar>
              <w:left w:w="54" w:type="dxa"/>
            </w:tcMar>
          </w:tcPr>
          <w:p w:rsidR="001902B1" w:rsidRPr="00FF3712" w:rsidRDefault="001902B1" w:rsidP="005B021F">
            <w:pPr>
              <w:pStyle w:val="a9"/>
              <w:jc w:val="center"/>
              <w:rPr>
                <w:rFonts w:ascii="Bookman Old Style" w:hAnsi="Bookman Old Style"/>
                <w:b/>
                <w:bCs/>
                <w:sz w:val="18"/>
                <w:szCs w:val="18"/>
                <w:lang w:val="uk-UA"/>
              </w:rPr>
            </w:pPr>
            <w:r w:rsidRPr="00FF3712">
              <w:rPr>
                <w:rFonts w:ascii="Bookman Old Style" w:hAnsi="Bookman Old Style"/>
                <w:sz w:val="18"/>
                <w:szCs w:val="18"/>
                <w:lang w:val="uk-UA"/>
              </w:rPr>
              <w:t>розглядаються малозначні справи (ціна позову — менше 100 розмірів прожиткового мінімуму для працездатних осіб та справи незначної складності, визначені судом)</w:t>
            </w:r>
          </w:p>
        </w:tc>
        <w:tc>
          <w:tcPr>
            <w:tcW w:w="4393" w:type="dxa"/>
            <w:tcBorders>
              <w:left w:val="single" w:sz="2" w:space="0" w:color="000000"/>
              <w:bottom w:val="single" w:sz="2" w:space="0" w:color="000000"/>
              <w:right w:val="single" w:sz="2" w:space="0" w:color="000000"/>
            </w:tcBorders>
            <w:shd w:val="clear" w:color="auto" w:fill="auto"/>
            <w:tcMar>
              <w:left w:w="54" w:type="dxa"/>
            </w:tcMar>
          </w:tcPr>
          <w:p w:rsidR="001902B1" w:rsidRPr="00FF3712" w:rsidRDefault="001902B1" w:rsidP="005B021F">
            <w:pPr>
              <w:pStyle w:val="a9"/>
              <w:jc w:val="center"/>
              <w:rPr>
                <w:rFonts w:ascii="Bookman Old Style" w:hAnsi="Bookman Old Style"/>
                <w:sz w:val="18"/>
                <w:szCs w:val="18"/>
                <w:lang w:val="uk-UA"/>
              </w:rPr>
            </w:pPr>
            <w:r w:rsidRPr="00FF3712">
              <w:rPr>
                <w:rFonts w:ascii="Bookman Old Style" w:hAnsi="Bookman Old Style"/>
                <w:sz w:val="18"/>
                <w:szCs w:val="18"/>
                <w:lang w:val="uk-UA"/>
              </w:rPr>
              <w:t>розглядаються незначної складності (перелік міститься у ст. 12 КАС України)</w:t>
            </w:r>
          </w:p>
        </w:tc>
      </w:tr>
      <w:tr w:rsidR="001902B1" w:rsidRPr="003D2291" w:rsidTr="001902B1">
        <w:trPr>
          <w:trHeight w:val="3698"/>
        </w:trPr>
        <w:tc>
          <w:tcPr>
            <w:tcW w:w="2343" w:type="dxa"/>
            <w:vMerge/>
            <w:tcBorders>
              <w:left w:val="single" w:sz="2" w:space="0" w:color="000000"/>
            </w:tcBorders>
          </w:tcPr>
          <w:p w:rsidR="001902B1" w:rsidRPr="00BF1E11" w:rsidRDefault="001902B1" w:rsidP="005B021F">
            <w:pPr>
              <w:pStyle w:val="a9"/>
              <w:jc w:val="center"/>
              <w:rPr>
                <w:rFonts w:ascii="Bookman Old Style" w:hAnsi="Bookman Old Style"/>
                <w:b/>
                <w:bCs/>
                <w:sz w:val="22"/>
                <w:szCs w:val="22"/>
                <w:lang w:val="uk-UA"/>
              </w:rPr>
            </w:pPr>
          </w:p>
        </w:tc>
        <w:tc>
          <w:tcPr>
            <w:tcW w:w="4253" w:type="dxa"/>
            <w:tcBorders>
              <w:left w:val="single" w:sz="2" w:space="0" w:color="000000"/>
            </w:tcBorders>
            <w:shd w:val="clear" w:color="auto" w:fill="auto"/>
            <w:tcMar>
              <w:left w:w="54" w:type="dxa"/>
            </w:tcMar>
          </w:tcPr>
          <w:p w:rsidR="001902B1" w:rsidRPr="00FF3712" w:rsidRDefault="001902B1" w:rsidP="005B021F">
            <w:pPr>
              <w:pStyle w:val="a9"/>
              <w:jc w:val="both"/>
              <w:rPr>
                <w:rFonts w:ascii="Bookman Old Style" w:hAnsi="Bookman Old Style"/>
                <w:sz w:val="18"/>
                <w:szCs w:val="18"/>
                <w:lang w:val="uk-UA"/>
              </w:rPr>
            </w:pPr>
            <w:r w:rsidRPr="00FF3712">
              <w:rPr>
                <w:rFonts w:ascii="Bookman Old Style" w:hAnsi="Bookman Old Style"/>
                <w:sz w:val="18"/>
                <w:szCs w:val="18"/>
                <w:lang w:val="uk-UA"/>
              </w:rPr>
              <w:t>- справи, що виникають з трудових відносин;</w:t>
            </w:r>
          </w:p>
          <w:p w:rsidR="001902B1" w:rsidRPr="00FF3712" w:rsidRDefault="001902B1" w:rsidP="001902B1">
            <w:pPr>
              <w:pStyle w:val="a9"/>
              <w:jc w:val="both"/>
              <w:rPr>
                <w:rFonts w:ascii="Bookman Old Style" w:hAnsi="Bookman Old Style"/>
                <w:sz w:val="18"/>
                <w:szCs w:val="18"/>
                <w:lang w:val="uk-UA"/>
              </w:rPr>
            </w:pPr>
            <w:r w:rsidRPr="00FF3712">
              <w:rPr>
                <w:rFonts w:ascii="Bookman Old Style" w:hAnsi="Bookman Old Style"/>
                <w:sz w:val="18"/>
                <w:szCs w:val="18"/>
                <w:lang w:val="uk-UA"/>
              </w:rPr>
              <w:t>- може бути розглянута будь-яка інша справа, віднесена до юрисдикції суду, за виключенням справ, що виникають з сімейних відносин, щодо спадкування, щодо приватизації державного житлового фонду, щодо визначення необґрунтованими активів  та їх витребування, справи, в яких ціна позову перевищує 500 розмірів прожиткового мінімуму для працездатних осіб.</w:t>
            </w:r>
          </w:p>
        </w:tc>
        <w:tc>
          <w:tcPr>
            <w:tcW w:w="3827" w:type="dxa"/>
            <w:tcBorders>
              <w:left w:val="single" w:sz="2" w:space="0" w:color="000000"/>
            </w:tcBorders>
            <w:shd w:val="clear" w:color="auto" w:fill="auto"/>
            <w:tcMar>
              <w:left w:w="54" w:type="dxa"/>
            </w:tcMar>
          </w:tcPr>
          <w:p w:rsidR="001902B1" w:rsidRPr="00FF3712" w:rsidRDefault="001902B1" w:rsidP="001902B1">
            <w:pPr>
              <w:pStyle w:val="a9"/>
              <w:jc w:val="both"/>
              <w:rPr>
                <w:rFonts w:ascii="Bookman Old Style" w:hAnsi="Bookman Old Style"/>
                <w:sz w:val="18"/>
                <w:szCs w:val="18"/>
                <w:lang w:val="uk-UA"/>
              </w:rPr>
            </w:pPr>
            <w:r w:rsidRPr="00FF3712">
              <w:rPr>
                <w:rFonts w:ascii="Bookman Old Style" w:hAnsi="Bookman Old Style"/>
                <w:sz w:val="18"/>
                <w:szCs w:val="18"/>
                <w:lang w:val="uk-UA"/>
              </w:rPr>
              <w:t>- може бути розглянута будь-яка інша справа, віднесена до юрисдикції господарського суду, за виключенням справ про банкрутство, санації боржника до банкрутства, корпоративних спорів, спори з питань інтелектуальної власності, економічної конкуренції, стягнення збитків з посадової особи, приватизації державного майна та в яких ціна позову перевищує 500 розмірів прожиткового мінімуму для працездатних осіб.</w:t>
            </w:r>
          </w:p>
        </w:tc>
        <w:tc>
          <w:tcPr>
            <w:tcW w:w="4393" w:type="dxa"/>
            <w:tcBorders>
              <w:left w:val="single" w:sz="2" w:space="0" w:color="000000"/>
              <w:right w:val="single" w:sz="2" w:space="0" w:color="000000"/>
            </w:tcBorders>
            <w:shd w:val="clear" w:color="auto" w:fill="auto"/>
            <w:tcMar>
              <w:left w:w="54" w:type="dxa"/>
            </w:tcMar>
          </w:tcPr>
          <w:p w:rsidR="001902B1" w:rsidRPr="00FF3712" w:rsidRDefault="001902B1" w:rsidP="005B021F">
            <w:pPr>
              <w:pStyle w:val="a9"/>
              <w:jc w:val="both"/>
              <w:rPr>
                <w:rFonts w:ascii="Bookman Old Style" w:hAnsi="Bookman Old Style"/>
                <w:sz w:val="18"/>
                <w:szCs w:val="18"/>
                <w:lang w:val="uk-UA"/>
              </w:rPr>
            </w:pPr>
            <w:r w:rsidRPr="00FF3712">
              <w:rPr>
                <w:rFonts w:ascii="Bookman Old Style" w:hAnsi="Bookman Old Style"/>
                <w:sz w:val="18"/>
                <w:szCs w:val="18"/>
                <w:lang w:val="uk-UA"/>
              </w:rPr>
              <w:t>- справи, що виникають з трудових відносин;</w:t>
            </w:r>
          </w:p>
          <w:p w:rsidR="001902B1" w:rsidRPr="00FF3712" w:rsidRDefault="001902B1" w:rsidP="005B021F">
            <w:pPr>
              <w:pStyle w:val="a9"/>
              <w:jc w:val="both"/>
              <w:rPr>
                <w:rFonts w:ascii="Bookman Old Style" w:hAnsi="Bookman Old Style"/>
                <w:sz w:val="18"/>
                <w:szCs w:val="18"/>
                <w:lang w:val="uk-UA"/>
              </w:rPr>
            </w:pPr>
            <w:r w:rsidRPr="00FF3712">
              <w:rPr>
                <w:rFonts w:ascii="Bookman Old Style" w:hAnsi="Bookman Old Style"/>
                <w:sz w:val="18"/>
                <w:szCs w:val="18"/>
                <w:lang w:val="uk-UA"/>
              </w:rPr>
              <w:t>- може бути розглянута будь-яка інша справа, віднесена до юрисдикції адміністративного суду, за виключенням справ у спорах щодо оскарження нормативно-правових актів, щодо оскарження рішень, дій та бездіяльності суб’єкта владних повноважень (відшкодування шкоди у сумі більше 500 прожиткових мінімумів для працездатних осіб), про примусове відчуження земельної ділянки, щодо оскарження рішення суб’єкта владних повноважень, на підставі якого ним може бути заявлено вимогу про стягнення грошових коштів у сумі більше 500 прожиткових мінімумів для працездатних осіб.</w:t>
            </w:r>
          </w:p>
        </w:tc>
      </w:tr>
      <w:tr w:rsidR="001902B1" w:rsidRPr="00FF3712" w:rsidTr="005B021F">
        <w:tc>
          <w:tcPr>
            <w:tcW w:w="2343" w:type="dxa"/>
            <w:tcBorders>
              <w:left w:val="single" w:sz="2" w:space="0" w:color="000000"/>
            </w:tcBorders>
          </w:tcPr>
          <w:p w:rsidR="001902B1" w:rsidRPr="00BF1E11" w:rsidRDefault="001902B1" w:rsidP="005B021F">
            <w:pPr>
              <w:pStyle w:val="a9"/>
              <w:jc w:val="center"/>
              <w:rPr>
                <w:rFonts w:ascii="Bookman Old Style" w:hAnsi="Bookman Old Style"/>
                <w:b/>
                <w:bCs/>
                <w:sz w:val="22"/>
                <w:szCs w:val="22"/>
                <w:lang w:val="uk-UA"/>
              </w:rPr>
            </w:pPr>
            <w:r w:rsidRPr="00BF1E11">
              <w:rPr>
                <w:rFonts w:ascii="Bookman Old Style" w:hAnsi="Bookman Old Style"/>
                <w:b/>
                <w:bCs/>
                <w:sz w:val="22"/>
                <w:szCs w:val="22"/>
                <w:lang w:val="uk-UA"/>
              </w:rPr>
              <w:t>Критерії розгляду справи у порядку спрощеного позовного провадження</w:t>
            </w:r>
          </w:p>
        </w:tc>
        <w:tc>
          <w:tcPr>
            <w:tcW w:w="12473" w:type="dxa"/>
            <w:gridSpan w:val="3"/>
            <w:tcBorders>
              <w:left w:val="single" w:sz="2" w:space="0" w:color="000000"/>
              <w:right w:val="single" w:sz="2" w:space="0" w:color="000000"/>
            </w:tcBorders>
            <w:shd w:val="clear" w:color="auto" w:fill="auto"/>
            <w:tcMar>
              <w:left w:w="54" w:type="dxa"/>
            </w:tcMar>
          </w:tcPr>
          <w:p w:rsidR="001902B1" w:rsidRPr="00FF3712" w:rsidRDefault="001902B1" w:rsidP="001902B1">
            <w:pPr>
              <w:pStyle w:val="a9"/>
              <w:numPr>
                <w:ilvl w:val="0"/>
                <w:numId w:val="4"/>
              </w:numPr>
              <w:jc w:val="both"/>
              <w:rPr>
                <w:rFonts w:ascii="Bookman Old Style" w:hAnsi="Bookman Old Style"/>
                <w:sz w:val="18"/>
                <w:szCs w:val="18"/>
                <w:lang w:val="uk-UA"/>
              </w:rPr>
            </w:pPr>
            <w:r w:rsidRPr="00FF3712">
              <w:rPr>
                <w:rFonts w:ascii="Bookman Old Style" w:hAnsi="Bookman Old Style"/>
                <w:sz w:val="18"/>
                <w:szCs w:val="18"/>
                <w:lang w:val="uk-UA"/>
              </w:rPr>
              <w:t xml:space="preserve">ціна позову; </w:t>
            </w:r>
          </w:p>
          <w:p w:rsidR="001902B1" w:rsidRPr="00FF3712" w:rsidRDefault="001902B1" w:rsidP="001902B1">
            <w:pPr>
              <w:pStyle w:val="a9"/>
              <w:numPr>
                <w:ilvl w:val="0"/>
                <w:numId w:val="4"/>
              </w:numPr>
              <w:jc w:val="both"/>
              <w:rPr>
                <w:rFonts w:ascii="Bookman Old Style" w:hAnsi="Bookman Old Style"/>
                <w:sz w:val="18"/>
                <w:szCs w:val="18"/>
                <w:lang w:val="uk-UA"/>
              </w:rPr>
            </w:pPr>
            <w:r w:rsidRPr="00FF3712">
              <w:rPr>
                <w:rFonts w:ascii="Bookman Old Style" w:hAnsi="Bookman Old Style"/>
                <w:sz w:val="18"/>
                <w:szCs w:val="18"/>
                <w:lang w:val="uk-UA"/>
              </w:rPr>
              <w:t xml:space="preserve">значення справи для сторін; </w:t>
            </w:r>
          </w:p>
          <w:p w:rsidR="001902B1" w:rsidRPr="00FF3712" w:rsidRDefault="001902B1" w:rsidP="001902B1">
            <w:pPr>
              <w:pStyle w:val="a9"/>
              <w:numPr>
                <w:ilvl w:val="0"/>
                <w:numId w:val="4"/>
              </w:numPr>
              <w:jc w:val="both"/>
              <w:rPr>
                <w:rFonts w:ascii="Bookman Old Style" w:hAnsi="Bookman Old Style"/>
                <w:sz w:val="18"/>
                <w:szCs w:val="18"/>
                <w:lang w:val="uk-UA"/>
              </w:rPr>
            </w:pPr>
            <w:r w:rsidRPr="00FF3712">
              <w:rPr>
                <w:rFonts w:ascii="Bookman Old Style" w:hAnsi="Bookman Old Style"/>
                <w:sz w:val="18"/>
                <w:szCs w:val="18"/>
                <w:lang w:val="uk-UA"/>
              </w:rPr>
              <w:t xml:space="preserve">обраний позивачем спосіб захисту; </w:t>
            </w:r>
          </w:p>
          <w:p w:rsidR="001902B1" w:rsidRPr="00FF3712" w:rsidRDefault="001902B1" w:rsidP="001902B1">
            <w:pPr>
              <w:pStyle w:val="a9"/>
              <w:numPr>
                <w:ilvl w:val="0"/>
                <w:numId w:val="4"/>
              </w:numPr>
              <w:jc w:val="both"/>
              <w:rPr>
                <w:rFonts w:ascii="Bookman Old Style" w:hAnsi="Bookman Old Style"/>
                <w:sz w:val="18"/>
                <w:szCs w:val="18"/>
                <w:lang w:val="uk-UA"/>
              </w:rPr>
            </w:pPr>
            <w:r w:rsidRPr="00FF3712">
              <w:rPr>
                <w:rFonts w:ascii="Bookman Old Style" w:hAnsi="Bookman Old Style"/>
                <w:sz w:val="18"/>
                <w:szCs w:val="18"/>
                <w:lang w:val="uk-UA"/>
              </w:rPr>
              <w:t xml:space="preserve">категорія та складність справи; </w:t>
            </w:r>
          </w:p>
          <w:p w:rsidR="001902B1" w:rsidRPr="00FF3712" w:rsidRDefault="001902B1" w:rsidP="001902B1">
            <w:pPr>
              <w:pStyle w:val="a9"/>
              <w:numPr>
                <w:ilvl w:val="0"/>
                <w:numId w:val="4"/>
              </w:numPr>
              <w:jc w:val="both"/>
              <w:rPr>
                <w:rFonts w:ascii="Bookman Old Style" w:hAnsi="Bookman Old Style"/>
                <w:sz w:val="18"/>
                <w:szCs w:val="18"/>
                <w:lang w:val="uk-UA"/>
              </w:rPr>
            </w:pPr>
            <w:r w:rsidRPr="00FF3712">
              <w:rPr>
                <w:rFonts w:ascii="Bookman Old Style" w:hAnsi="Bookman Old Style"/>
                <w:sz w:val="18"/>
                <w:szCs w:val="18"/>
                <w:lang w:val="uk-UA"/>
              </w:rPr>
              <w:t xml:space="preserve">обсяг та характер доказів у справі, в тому числі чи потрібно у справі призначити експертизу, викликати свідків тощо; </w:t>
            </w:r>
          </w:p>
          <w:p w:rsidR="001902B1" w:rsidRPr="00FF3712" w:rsidRDefault="001902B1" w:rsidP="001902B1">
            <w:pPr>
              <w:pStyle w:val="a9"/>
              <w:numPr>
                <w:ilvl w:val="0"/>
                <w:numId w:val="4"/>
              </w:numPr>
              <w:jc w:val="both"/>
              <w:rPr>
                <w:rFonts w:ascii="Bookman Old Style" w:hAnsi="Bookman Old Style"/>
                <w:sz w:val="18"/>
                <w:szCs w:val="18"/>
                <w:lang w:val="uk-UA"/>
              </w:rPr>
            </w:pPr>
            <w:r w:rsidRPr="00FF3712">
              <w:rPr>
                <w:rFonts w:ascii="Bookman Old Style" w:hAnsi="Bookman Old Style"/>
                <w:sz w:val="18"/>
                <w:szCs w:val="18"/>
                <w:lang w:val="uk-UA"/>
              </w:rPr>
              <w:t xml:space="preserve">кількість сторін та інших учасників справи; </w:t>
            </w:r>
          </w:p>
          <w:p w:rsidR="001902B1" w:rsidRPr="00FF3712" w:rsidRDefault="001902B1" w:rsidP="001902B1">
            <w:pPr>
              <w:pStyle w:val="a9"/>
              <w:numPr>
                <w:ilvl w:val="0"/>
                <w:numId w:val="4"/>
              </w:numPr>
              <w:jc w:val="both"/>
              <w:rPr>
                <w:rFonts w:ascii="Bookman Old Style" w:hAnsi="Bookman Old Style"/>
                <w:sz w:val="18"/>
                <w:szCs w:val="18"/>
                <w:lang w:val="uk-UA"/>
              </w:rPr>
            </w:pPr>
            <w:r w:rsidRPr="00FF3712">
              <w:rPr>
                <w:rFonts w:ascii="Bookman Old Style" w:hAnsi="Bookman Old Style"/>
                <w:sz w:val="18"/>
                <w:szCs w:val="18"/>
                <w:lang w:val="uk-UA"/>
              </w:rPr>
              <w:t xml:space="preserve">чи становить розгляд справи значний суспільний інтерес; </w:t>
            </w:r>
          </w:p>
          <w:p w:rsidR="001902B1" w:rsidRPr="00FF3712" w:rsidRDefault="001902B1" w:rsidP="001902B1">
            <w:pPr>
              <w:pStyle w:val="a9"/>
              <w:numPr>
                <w:ilvl w:val="0"/>
                <w:numId w:val="4"/>
              </w:numPr>
              <w:jc w:val="both"/>
              <w:rPr>
                <w:rFonts w:ascii="Bookman Old Style" w:hAnsi="Bookman Old Style"/>
                <w:sz w:val="18"/>
                <w:szCs w:val="18"/>
                <w:lang w:val="uk-UA"/>
              </w:rPr>
            </w:pPr>
            <w:r w:rsidRPr="00FF3712">
              <w:rPr>
                <w:rFonts w:ascii="Bookman Old Style" w:hAnsi="Bookman Old Style"/>
                <w:sz w:val="18"/>
                <w:szCs w:val="18"/>
                <w:lang w:val="uk-UA"/>
              </w:rPr>
              <w:t>думки сторін щодо необхідності розгляду справи в порядку спрощеного провадження</w:t>
            </w:r>
          </w:p>
        </w:tc>
      </w:tr>
      <w:tr w:rsidR="001902B1" w:rsidRPr="00FF3712" w:rsidTr="005B021F">
        <w:tc>
          <w:tcPr>
            <w:tcW w:w="2343" w:type="dxa"/>
            <w:tcBorders>
              <w:left w:val="single" w:sz="2" w:space="0" w:color="000000"/>
            </w:tcBorders>
          </w:tcPr>
          <w:p w:rsidR="001902B1" w:rsidRPr="00BF1E11" w:rsidRDefault="001902B1" w:rsidP="005B021F">
            <w:pPr>
              <w:pStyle w:val="a9"/>
              <w:jc w:val="center"/>
              <w:rPr>
                <w:rFonts w:ascii="Bookman Old Style" w:hAnsi="Bookman Old Style"/>
                <w:b/>
                <w:bCs/>
                <w:sz w:val="22"/>
                <w:szCs w:val="22"/>
                <w:lang w:val="uk-UA"/>
              </w:rPr>
            </w:pPr>
            <w:r w:rsidRPr="00BF1E11">
              <w:rPr>
                <w:rFonts w:ascii="Bookman Old Style" w:hAnsi="Bookman Old Style"/>
                <w:b/>
                <w:bCs/>
                <w:sz w:val="22"/>
                <w:szCs w:val="22"/>
                <w:lang w:val="uk-UA"/>
              </w:rPr>
              <w:t>Строки</w:t>
            </w:r>
          </w:p>
        </w:tc>
        <w:tc>
          <w:tcPr>
            <w:tcW w:w="12473" w:type="dxa"/>
            <w:gridSpan w:val="3"/>
            <w:tcBorders>
              <w:left w:val="single" w:sz="2" w:space="0" w:color="000000"/>
              <w:right w:val="single" w:sz="2" w:space="0" w:color="000000"/>
            </w:tcBorders>
            <w:shd w:val="clear" w:color="auto" w:fill="auto"/>
            <w:tcMar>
              <w:left w:w="54" w:type="dxa"/>
            </w:tcMar>
          </w:tcPr>
          <w:p w:rsidR="001902B1" w:rsidRPr="00FF3712" w:rsidRDefault="001902B1" w:rsidP="005B021F">
            <w:pPr>
              <w:pStyle w:val="a9"/>
              <w:ind w:left="720"/>
              <w:jc w:val="center"/>
              <w:rPr>
                <w:rFonts w:ascii="Bookman Old Style" w:hAnsi="Bookman Old Style"/>
                <w:sz w:val="18"/>
                <w:szCs w:val="18"/>
                <w:lang w:val="uk-UA"/>
              </w:rPr>
            </w:pPr>
            <w:r w:rsidRPr="00BF1E11">
              <w:rPr>
                <w:rFonts w:ascii="Bookman Old Style" w:hAnsi="Bookman Old Style"/>
                <w:b/>
                <w:sz w:val="18"/>
                <w:szCs w:val="18"/>
                <w:lang w:val="uk-UA"/>
              </w:rPr>
              <w:t>60 днів</w:t>
            </w:r>
            <w:r w:rsidRPr="00FF3712">
              <w:rPr>
                <w:rFonts w:ascii="Bookman Old Style" w:hAnsi="Bookman Old Style"/>
                <w:sz w:val="18"/>
                <w:szCs w:val="18"/>
                <w:lang w:val="uk-UA"/>
              </w:rPr>
              <w:t xml:space="preserve"> з дня відкриття провадження у справі</w:t>
            </w:r>
          </w:p>
        </w:tc>
      </w:tr>
      <w:tr w:rsidR="001902B1" w:rsidRPr="00FF3712" w:rsidTr="005B021F">
        <w:tc>
          <w:tcPr>
            <w:tcW w:w="2343" w:type="dxa"/>
            <w:tcBorders>
              <w:left w:val="single" w:sz="2" w:space="0" w:color="000000"/>
              <w:bottom w:val="single" w:sz="2" w:space="0" w:color="000000"/>
            </w:tcBorders>
          </w:tcPr>
          <w:p w:rsidR="001902B1" w:rsidRPr="00BF1E11" w:rsidRDefault="001902B1" w:rsidP="005B021F">
            <w:pPr>
              <w:pStyle w:val="a9"/>
              <w:jc w:val="center"/>
              <w:rPr>
                <w:rFonts w:ascii="Bookman Old Style" w:hAnsi="Bookman Old Style"/>
                <w:b/>
                <w:bCs/>
                <w:sz w:val="22"/>
                <w:szCs w:val="22"/>
                <w:lang w:val="uk-UA"/>
              </w:rPr>
            </w:pPr>
            <w:r w:rsidRPr="00BF1E11">
              <w:rPr>
                <w:rFonts w:ascii="Bookman Old Style" w:hAnsi="Bookman Old Style"/>
                <w:b/>
                <w:bCs/>
                <w:sz w:val="22"/>
                <w:szCs w:val="22"/>
                <w:lang w:val="uk-UA"/>
              </w:rPr>
              <w:t>Особливості спрощеного провадження</w:t>
            </w:r>
          </w:p>
          <w:p w:rsidR="001902B1" w:rsidRPr="00BF1E11" w:rsidRDefault="001902B1" w:rsidP="005B021F">
            <w:pPr>
              <w:pStyle w:val="a9"/>
              <w:jc w:val="center"/>
              <w:rPr>
                <w:rFonts w:ascii="Bookman Old Style" w:hAnsi="Bookman Old Style"/>
                <w:b/>
                <w:bCs/>
                <w:sz w:val="22"/>
                <w:szCs w:val="22"/>
                <w:lang w:val="uk-UA"/>
              </w:rPr>
            </w:pPr>
          </w:p>
        </w:tc>
        <w:tc>
          <w:tcPr>
            <w:tcW w:w="12473" w:type="dxa"/>
            <w:gridSpan w:val="3"/>
            <w:tcBorders>
              <w:left w:val="single" w:sz="2" w:space="0" w:color="000000"/>
              <w:bottom w:val="single" w:sz="2" w:space="0" w:color="000000"/>
              <w:right w:val="single" w:sz="2" w:space="0" w:color="000000"/>
            </w:tcBorders>
            <w:shd w:val="clear" w:color="auto" w:fill="auto"/>
            <w:tcMar>
              <w:left w:w="54" w:type="dxa"/>
            </w:tcMar>
          </w:tcPr>
          <w:p w:rsidR="001902B1" w:rsidRPr="00FF3712" w:rsidRDefault="001902B1" w:rsidP="001902B1">
            <w:pPr>
              <w:pStyle w:val="a9"/>
              <w:numPr>
                <w:ilvl w:val="0"/>
                <w:numId w:val="7"/>
              </w:numPr>
              <w:jc w:val="both"/>
              <w:rPr>
                <w:rFonts w:ascii="Bookman Old Style" w:hAnsi="Bookman Old Style"/>
                <w:sz w:val="18"/>
                <w:szCs w:val="18"/>
                <w:lang w:val="uk-UA"/>
              </w:rPr>
            </w:pPr>
            <w:r w:rsidRPr="00FF3712">
              <w:rPr>
                <w:rFonts w:ascii="Bookman Old Style" w:hAnsi="Bookman Old Style"/>
                <w:sz w:val="18"/>
                <w:szCs w:val="18"/>
                <w:lang w:val="uk-UA"/>
              </w:rPr>
              <w:t xml:space="preserve">подання відзиву </w:t>
            </w:r>
            <w:r w:rsidRPr="00BF1E11">
              <w:rPr>
                <w:rFonts w:ascii="Bookman Old Style" w:hAnsi="Bookman Old Style"/>
                <w:b/>
                <w:sz w:val="18"/>
                <w:szCs w:val="18"/>
                <w:lang w:val="uk-UA"/>
              </w:rPr>
              <w:t>протягом 15 днів</w:t>
            </w:r>
            <w:r w:rsidRPr="00FF3712">
              <w:rPr>
                <w:rFonts w:ascii="Bookman Old Style" w:hAnsi="Bookman Old Style"/>
                <w:sz w:val="18"/>
                <w:szCs w:val="18"/>
                <w:lang w:val="uk-UA"/>
              </w:rPr>
              <w:t xml:space="preserve"> з дня  вручення ухвали про відкриття провадження;</w:t>
            </w:r>
          </w:p>
          <w:p w:rsidR="001902B1" w:rsidRPr="00FF3712" w:rsidRDefault="001902B1" w:rsidP="001902B1">
            <w:pPr>
              <w:pStyle w:val="a9"/>
              <w:numPr>
                <w:ilvl w:val="0"/>
                <w:numId w:val="7"/>
              </w:numPr>
              <w:jc w:val="both"/>
              <w:rPr>
                <w:rFonts w:ascii="Bookman Old Style" w:hAnsi="Bookman Old Style"/>
                <w:sz w:val="18"/>
                <w:szCs w:val="18"/>
                <w:lang w:val="uk-UA"/>
              </w:rPr>
            </w:pPr>
            <w:r w:rsidRPr="00FF3712">
              <w:rPr>
                <w:rFonts w:ascii="Bookman Old Style" w:hAnsi="Bookman Old Style"/>
                <w:sz w:val="18"/>
                <w:szCs w:val="18"/>
                <w:lang w:val="uk-UA"/>
              </w:rPr>
              <w:t>підготовче засідання не проводиться;</w:t>
            </w:r>
          </w:p>
          <w:p w:rsidR="001902B1" w:rsidRPr="00FF3712" w:rsidRDefault="001902B1" w:rsidP="001902B1">
            <w:pPr>
              <w:pStyle w:val="a9"/>
              <w:numPr>
                <w:ilvl w:val="0"/>
                <w:numId w:val="7"/>
              </w:numPr>
              <w:jc w:val="both"/>
              <w:rPr>
                <w:rFonts w:ascii="Bookman Old Style" w:hAnsi="Bookman Old Style"/>
                <w:sz w:val="18"/>
                <w:szCs w:val="18"/>
                <w:lang w:val="uk-UA"/>
              </w:rPr>
            </w:pPr>
            <w:r w:rsidRPr="00FF3712">
              <w:rPr>
                <w:rFonts w:ascii="Bookman Old Style" w:hAnsi="Bookman Old Style"/>
                <w:sz w:val="18"/>
                <w:szCs w:val="18"/>
                <w:lang w:val="uk-UA"/>
              </w:rPr>
              <w:t xml:space="preserve">перше засідання проводиться </w:t>
            </w:r>
            <w:r w:rsidRPr="00BF1E11">
              <w:rPr>
                <w:rFonts w:ascii="Bookman Old Style" w:hAnsi="Bookman Old Style"/>
                <w:b/>
                <w:sz w:val="18"/>
                <w:szCs w:val="18"/>
                <w:lang w:val="uk-UA"/>
              </w:rPr>
              <w:t>не пізніше 30 днів</w:t>
            </w:r>
            <w:r w:rsidRPr="00FF3712">
              <w:rPr>
                <w:rFonts w:ascii="Bookman Old Style" w:hAnsi="Bookman Old Style"/>
                <w:sz w:val="18"/>
                <w:szCs w:val="18"/>
                <w:lang w:val="uk-UA"/>
              </w:rPr>
              <w:t xml:space="preserve"> з дня відкриття провадження у справі;</w:t>
            </w:r>
          </w:p>
          <w:p w:rsidR="001902B1" w:rsidRPr="00FF3712" w:rsidRDefault="001902B1" w:rsidP="001902B1">
            <w:pPr>
              <w:pStyle w:val="a9"/>
              <w:numPr>
                <w:ilvl w:val="0"/>
                <w:numId w:val="7"/>
              </w:numPr>
              <w:jc w:val="both"/>
              <w:rPr>
                <w:rFonts w:ascii="Bookman Old Style" w:hAnsi="Bookman Old Style"/>
                <w:sz w:val="18"/>
                <w:szCs w:val="18"/>
                <w:lang w:val="uk-UA"/>
              </w:rPr>
            </w:pPr>
            <w:r w:rsidRPr="00FF3712">
              <w:rPr>
                <w:rFonts w:ascii="Bookman Old Style" w:hAnsi="Bookman Old Style"/>
                <w:sz w:val="18"/>
                <w:szCs w:val="18"/>
                <w:lang w:val="uk-UA"/>
              </w:rPr>
              <w:t>розгляд здійснюється без повідомлення учасників справи за наявними у справі матеріалами, за відсутності клопотання будь-якої із сторін про інше;</w:t>
            </w:r>
          </w:p>
          <w:p w:rsidR="001902B1" w:rsidRPr="00FF3712" w:rsidRDefault="001902B1" w:rsidP="001902B1">
            <w:pPr>
              <w:pStyle w:val="a9"/>
              <w:numPr>
                <w:ilvl w:val="0"/>
                <w:numId w:val="7"/>
              </w:numPr>
              <w:jc w:val="both"/>
              <w:rPr>
                <w:rFonts w:ascii="Bookman Old Style" w:hAnsi="Bookman Old Style"/>
                <w:sz w:val="18"/>
                <w:szCs w:val="18"/>
                <w:lang w:val="uk-UA"/>
              </w:rPr>
            </w:pPr>
            <w:r w:rsidRPr="00FF3712">
              <w:rPr>
                <w:rFonts w:ascii="Bookman Old Style" w:hAnsi="Bookman Old Style"/>
                <w:sz w:val="18"/>
                <w:szCs w:val="18"/>
                <w:lang w:val="uk-UA"/>
              </w:rPr>
              <w:t>судові дебати не проводяться;</w:t>
            </w:r>
          </w:p>
          <w:p w:rsidR="001902B1" w:rsidRPr="00FF3712" w:rsidRDefault="001902B1" w:rsidP="001902B1">
            <w:pPr>
              <w:pStyle w:val="a9"/>
              <w:numPr>
                <w:ilvl w:val="0"/>
                <w:numId w:val="7"/>
              </w:numPr>
              <w:jc w:val="both"/>
              <w:rPr>
                <w:rFonts w:ascii="Bookman Old Style" w:hAnsi="Bookman Old Style"/>
                <w:sz w:val="18"/>
                <w:szCs w:val="18"/>
                <w:lang w:val="uk-UA"/>
              </w:rPr>
            </w:pPr>
            <w:r w:rsidRPr="00FF3712">
              <w:rPr>
                <w:rFonts w:ascii="Bookman Old Style" w:hAnsi="Bookman Old Style"/>
                <w:sz w:val="18"/>
                <w:szCs w:val="18"/>
                <w:lang w:val="uk-UA"/>
              </w:rPr>
              <w:t>не викликаються свідки.</w:t>
            </w:r>
          </w:p>
        </w:tc>
      </w:tr>
    </w:tbl>
    <w:p w:rsidR="00FA0DA1" w:rsidRPr="00A51A9E" w:rsidRDefault="00FA0DA1" w:rsidP="001902B1">
      <w:pPr>
        <w:rPr>
          <w:sz w:val="16"/>
          <w:szCs w:val="16"/>
          <w:vertAlign w:val="superscript"/>
          <w:lang w:val="uk-UA"/>
        </w:rPr>
      </w:pPr>
    </w:p>
    <w:sectPr w:rsidR="00FA0DA1" w:rsidRPr="00A51A9E" w:rsidSect="00821B15">
      <w:headerReference w:type="default" r:id="rId8"/>
      <w:footerReference w:type="default" r:id="rId9"/>
      <w:pgSz w:w="16838" w:h="11906" w:orient="landscape"/>
      <w:pgMar w:top="1415" w:right="1134" w:bottom="1135" w:left="1134" w:header="855" w:footer="9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684" w:rsidRDefault="00CC7684" w:rsidP="001D748D">
      <w:pPr>
        <w:spacing w:after="0" w:line="240" w:lineRule="auto"/>
      </w:pPr>
      <w:r>
        <w:separator/>
      </w:r>
    </w:p>
  </w:endnote>
  <w:endnote w:type="continuationSeparator" w:id="1">
    <w:p w:rsidR="00CC7684" w:rsidRDefault="00CC7684" w:rsidP="001D74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8D" w:rsidRPr="0033140D" w:rsidRDefault="001D748D" w:rsidP="00821B15">
    <w:pPr>
      <w:pStyle w:val="a6"/>
      <w:jc w:val="right"/>
      <w:rPr>
        <w:lang w:val="uk-UA"/>
      </w:rPr>
    </w:pPr>
    <w:r w:rsidRPr="0033140D">
      <w:rPr>
        <w:lang w:val="uk-UA"/>
      </w:rPr>
      <w:t xml:space="preserve">© </w:t>
    </w:r>
    <w:hyperlink r:id="rId1" w:history="1">
      <w:r w:rsidRPr="0033140D">
        <w:rPr>
          <w:lang w:val="uk-UA"/>
        </w:rPr>
        <w:t xml:space="preserve"> Адвокатське об'єднання «</w:t>
      </w:r>
      <w:r w:rsidRPr="0033140D">
        <w:rPr>
          <w:rStyle w:val="a8"/>
          <w:lang w:val="uk-UA"/>
        </w:rPr>
        <w:t>Letrado</w:t>
      </w:r>
    </w:hyperlink>
    <w:r w:rsidRPr="0033140D">
      <w:rPr>
        <w:lang w:val="uk-UA"/>
      </w:rPr>
      <w:t>»,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684" w:rsidRDefault="00CC7684" w:rsidP="001D748D">
      <w:pPr>
        <w:spacing w:after="0" w:line="240" w:lineRule="auto"/>
      </w:pPr>
      <w:r>
        <w:separator/>
      </w:r>
    </w:p>
  </w:footnote>
  <w:footnote w:type="continuationSeparator" w:id="1">
    <w:p w:rsidR="00CC7684" w:rsidRDefault="00CC7684" w:rsidP="001D74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8D" w:rsidRPr="0033140D" w:rsidRDefault="00B73969" w:rsidP="00B73969">
    <w:pPr>
      <w:pStyle w:val="a4"/>
      <w:jc w:val="right"/>
      <w:rPr>
        <w:rFonts w:ascii="Bookman Old Style" w:hAnsi="Bookman Old Style"/>
        <w:lang w:val="uk-UA"/>
      </w:rPr>
    </w:pPr>
    <w:r w:rsidRPr="0033140D">
      <w:rPr>
        <w:rStyle w:val="xfm82484111"/>
        <w:rFonts w:ascii="Bookman Old Style" w:hAnsi="Bookman Old Style"/>
        <w:lang w:val="uk-UA"/>
      </w:rPr>
      <w:t>Розгляд в першій інстанції</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F4D7D"/>
    <w:multiLevelType w:val="hybridMultilevel"/>
    <w:tmpl w:val="EE68B4A6"/>
    <w:lvl w:ilvl="0" w:tplc="965837D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F6082E"/>
    <w:multiLevelType w:val="hybridMultilevel"/>
    <w:tmpl w:val="EC3E8A34"/>
    <w:lvl w:ilvl="0" w:tplc="04190003">
      <w:start w:val="1"/>
      <w:numFmt w:val="bullet"/>
      <w:lvlText w:val="o"/>
      <w:lvlJc w:val="left"/>
      <w:pPr>
        <w:ind w:left="1068" w:hanging="360"/>
      </w:pPr>
      <w:rPr>
        <w:rFonts w:ascii="Courier New" w:hAnsi="Courier New" w:cs="Courier New"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258F26C2"/>
    <w:multiLevelType w:val="hybridMultilevel"/>
    <w:tmpl w:val="34ACF57A"/>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B2F0218"/>
    <w:multiLevelType w:val="hybridMultilevel"/>
    <w:tmpl w:val="1C2877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2D531F"/>
    <w:multiLevelType w:val="hybridMultilevel"/>
    <w:tmpl w:val="1924BFA8"/>
    <w:lvl w:ilvl="0" w:tplc="965837D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E134EC2"/>
    <w:multiLevelType w:val="hybridMultilevel"/>
    <w:tmpl w:val="93162374"/>
    <w:lvl w:ilvl="0" w:tplc="324AAC32">
      <w:numFmt w:val="bullet"/>
      <w:lvlText w:val="-"/>
      <w:lvlJc w:val="left"/>
      <w:pPr>
        <w:ind w:left="720" w:hanging="360"/>
      </w:pPr>
      <w:rPr>
        <w:rFonts w:ascii="Bookman Old Style" w:eastAsia="Noto Sans CJK SC Regular" w:hAnsi="Bookman Old Style" w:cs="FreeSan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F1427E5"/>
    <w:multiLevelType w:val="multilevel"/>
    <w:tmpl w:val="85B866A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2"/>
  </w:num>
  <w:num w:numId="2">
    <w:abstractNumId w:val="3"/>
  </w:num>
  <w:num w:numId="3">
    <w:abstractNumId w:val="1"/>
  </w:num>
  <w:num w:numId="4">
    <w:abstractNumId w:val="5"/>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D748D"/>
    <w:rsid w:val="00035C52"/>
    <w:rsid w:val="000A53CB"/>
    <w:rsid w:val="00120412"/>
    <w:rsid w:val="00165BEE"/>
    <w:rsid w:val="001902B1"/>
    <w:rsid w:val="001D748D"/>
    <w:rsid w:val="002A40B0"/>
    <w:rsid w:val="0033140D"/>
    <w:rsid w:val="004819E6"/>
    <w:rsid w:val="00674827"/>
    <w:rsid w:val="00675A1C"/>
    <w:rsid w:val="006A7274"/>
    <w:rsid w:val="007852E4"/>
    <w:rsid w:val="007D46C4"/>
    <w:rsid w:val="0080018E"/>
    <w:rsid w:val="00821B15"/>
    <w:rsid w:val="0086060B"/>
    <w:rsid w:val="00A51A9E"/>
    <w:rsid w:val="00A94C22"/>
    <w:rsid w:val="00AA3B13"/>
    <w:rsid w:val="00AF7653"/>
    <w:rsid w:val="00B73969"/>
    <w:rsid w:val="00BB4118"/>
    <w:rsid w:val="00C87C89"/>
    <w:rsid w:val="00CB73D1"/>
    <w:rsid w:val="00CC7684"/>
    <w:rsid w:val="00D2006E"/>
    <w:rsid w:val="00FA0DA1"/>
    <w:rsid w:val="00FA5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48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748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1D748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D748D"/>
    <w:rPr>
      <w:rFonts w:eastAsiaTheme="minorEastAsia"/>
      <w:lang w:eastAsia="ru-RU"/>
    </w:rPr>
  </w:style>
  <w:style w:type="paragraph" w:styleId="a6">
    <w:name w:val="footer"/>
    <w:basedOn w:val="a"/>
    <w:link w:val="a7"/>
    <w:uiPriority w:val="99"/>
    <w:semiHidden/>
    <w:unhideWhenUsed/>
    <w:rsid w:val="001D748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D748D"/>
    <w:rPr>
      <w:rFonts w:eastAsiaTheme="minorEastAsia"/>
      <w:lang w:eastAsia="ru-RU"/>
    </w:rPr>
  </w:style>
  <w:style w:type="character" w:styleId="a8">
    <w:name w:val="Hyperlink"/>
    <w:basedOn w:val="a0"/>
    <w:uiPriority w:val="99"/>
    <w:unhideWhenUsed/>
    <w:rsid w:val="001D748D"/>
    <w:rPr>
      <w:color w:val="0000FF" w:themeColor="hyperlink"/>
      <w:u w:val="single"/>
    </w:rPr>
  </w:style>
  <w:style w:type="paragraph" w:customStyle="1" w:styleId="a9">
    <w:name w:val="Содержимое таблицы"/>
    <w:basedOn w:val="a"/>
    <w:qFormat/>
    <w:rsid w:val="00B73969"/>
    <w:pPr>
      <w:suppressLineNumbers/>
      <w:spacing w:after="0" w:line="240" w:lineRule="auto"/>
    </w:pPr>
    <w:rPr>
      <w:rFonts w:ascii="Liberation Serif" w:eastAsia="Noto Sans CJK SC Regular" w:hAnsi="Liberation Serif" w:cs="FreeSans"/>
      <w:sz w:val="24"/>
      <w:szCs w:val="24"/>
      <w:lang w:eastAsia="zh-CN" w:bidi="hi-IN"/>
    </w:rPr>
  </w:style>
  <w:style w:type="character" w:customStyle="1" w:styleId="xfm82484111">
    <w:name w:val="xfm_82484111"/>
    <w:basedOn w:val="a0"/>
    <w:rsid w:val="00B73969"/>
  </w:style>
  <w:style w:type="paragraph" w:styleId="1">
    <w:name w:val="index 1"/>
    <w:basedOn w:val="a"/>
    <w:next w:val="a"/>
    <w:autoRedefine/>
    <w:uiPriority w:val="99"/>
    <w:semiHidden/>
    <w:unhideWhenUsed/>
    <w:rsid w:val="00D2006E"/>
    <w:pPr>
      <w:spacing w:after="0" w:line="240" w:lineRule="auto"/>
      <w:ind w:left="220" w:hanging="220"/>
    </w:pPr>
  </w:style>
  <w:style w:type="paragraph" w:styleId="aa">
    <w:name w:val="index heading"/>
    <w:basedOn w:val="a"/>
    <w:qFormat/>
    <w:rsid w:val="00D2006E"/>
    <w:pPr>
      <w:suppressLineNumbers/>
      <w:spacing w:after="0" w:line="240" w:lineRule="auto"/>
    </w:pPr>
    <w:rPr>
      <w:rFonts w:ascii="Liberation Serif" w:eastAsia="Noto Sans CJK SC Regular" w:hAnsi="Liberation Serif" w:cs="FreeSans"/>
      <w:sz w:val="24"/>
      <w:szCs w:val="24"/>
      <w:lang w:eastAsia="zh-CN" w:bidi="hi-IN"/>
    </w:rPr>
  </w:style>
  <w:style w:type="paragraph" w:styleId="ab">
    <w:name w:val="Body Text"/>
    <w:basedOn w:val="a"/>
    <w:link w:val="ac"/>
    <w:rsid w:val="00D2006E"/>
    <w:pPr>
      <w:spacing w:after="140" w:line="288" w:lineRule="auto"/>
    </w:pPr>
    <w:rPr>
      <w:rFonts w:ascii="Liberation Serif" w:eastAsia="Noto Sans CJK SC Regular" w:hAnsi="Liberation Serif" w:cs="FreeSans"/>
      <w:sz w:val="24"/>
      <w:szCs w:val="24"/>
      <w:lang w:eastAsia="zh-CN" w:bidi="hi-IN"/>
    </w:rPr>
  </w:style>
  <w:style w:type="character" w:customStyle="1" w:styleId="ac">
    <w:name w:val="Основной текст Знак"/>
    <w:basedOn w:val="a0"/>
    <w:link w:val="ab"/>
    <w:rsid w:val="00D2006E"/>
    <w:rPr>
      <w:rFonts w:ascii="Liberation Serif" w:eastAsia="Noto Sans CJK SC Regular" w:hAnsi="Liberation Serif" w:cs="FreeSans"/>
      <w:sz w:val="24"/>
      <w:szCs w:val="24"/>
      <w:lang w:eastAsia="zh-CN" w:bidi="hi-IN"/>
    </w:rPr>
  </w:style>
  <w:style w:type="paragraph" w:styleId="ad">
    <w:name w:val="List Paragraph"/>
    <w:basedOn w:val="a"/>
    <w:uiPriority w:val="34"/>
    <w:qFormat/>
    <w:rsid w:val="00CB73D1"/>
    <w:pPr>
      <w:spacing w:after="0" w:line="240" w:lineRule="auto"/>
      <w:ind w:left="720"/>
      <w:contextualSpacing/>
    </w:pPr>
    <w:rPr>
      <w:rFonts w:ascii="Liberation Serif" w:eastAsia="Noto Sans CJK SC Regular" w:hAnsi="Liberation Serif" w:cs="Mangal"/>
      <w:sz w:val="24"/>
      <w:szCs w:val="21"/>
      <w:lang w:eastAsia="zh-CN" w:bidi="hi-IN"/>
    </w:rPr>
  </w:style>
  <w:style w:type="table" w:customStyle="1" w:styleId="10">
    <w:name w:val="Сетка таблицы1"/>
    <w:basedOn w:val="a1"/>
    <w:next w:val="a3"/>
    <w:uiPriority w:val="59"/>
    <w:rsid w:val="00A51A9E"/>
    <w:pPr>
      <w:spacing w:after="0" w:line="240" w:lineRule="auto"/>
    </w:pPr>
    <w:rPr>
      <w:rFonts w:ascii="Liberation Serif" w:eastAsia="Noto Sans CJK SC Regular"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A51A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letrado.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11F44-DC25-45E2-A8A9-0CE080CD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410</Words>
  <Characters>2337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Letrado</dc:creator>
  <cp:lastModifiedBy>Пользователь</cp:lastModifiedBy>
  <cp:revision>2</cp:revision>
  <dcterms:created xsi:type="dcterms:W3CDTF">2017-12-14T03:51:00Z</dcterms:created>
  <dcterms:modified xsi:type="dcterms:W3CDTF">2018-01-10T13:51:00Z</dcterms:modified>
</cp:coreProperties>
</file>