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611"/>
        <w:gridCol w:w="204"/>
        <w:gridCol w:w="4875"/>
        <w:gridCol w:w="4764"/>
      </w:tblGrid>
      <w:tr w:rsidR="00DB1BF1" w:rsidRPr="00BF1E11" w:rsidTr="00DB1BF1">
        <w:trPr>
          <w:trHeight w:val="93"/>
        </w:trPr>
        <w:tc>
          <w:tcPr>
            <w:tcW w:w="144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DB1BF1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DB1B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Таблиця №8</w:t>
            </w:r>
          </w:p>
        </w:tc>
      </w:tr>
      <w:tr w:rsidR="00DB1BF1" w:rsidRPr="00BF1E11" w:rsidTr="005B021F">
        <w:trPr>
          <w:trHeight w:val="127"/>
        </w:trPr>
        <w:tc>
          <w:tcPr>
            <w:tcW w:w="144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DB1BF1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uk-UA"/>
              </w:rPr>
            </w:pPr>
            <w:r w:rsidRPr="00DB1BF1">
              <w:rPr>
                <w:rFonts w:ascii="Bookman Old Style" w:hAnsi="Bookman Old Style"/>
                <w:b/>
                <w:bCs/>
                <w:sz w:val="22"/>
                <w:szCs w:val="22"/>
                <w:lang w:val="uk-UA"/>
              </w:rPr>
              <w:t>ЗАГАЛЬНЕ ПОЗОВНЕ ПРОВАДЖЕННЯ: СТАДІЇ</w:t>
            </w:r>
          </w:p>
        </w:tc>
      </w:tr>
      <w:tr w:rsidR="00DB1BF1" w:rsidRPr="00BF1E11" w:rsidTr="00DB1BF1">
        <w:trPr>
          <w:trHeight w:val="203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BF1E11" w:rsidRDefault="00DB1BF1" w:rsidP="005B021F">
            <w:pPr>
              <w:pStyle w:val="a9"/>
              <w:jc w:val="center"/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</w:pPr>
            <w:r w:rsidRPr="00BF1E11"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  <w:t xml:space="preserve">ЦПК 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BF1E11" w:rsidRDefault="00DB1BF1" w:rsidP="005B021F">
            <w:pPr>
              <w:pStyle w:val="a9"/>
              <w:jc w:val="center"/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</w:pPr>
            <w:r w:rsidRPr="00BF1E11"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  <w:t>ГПК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BF1E11" w:rsidRDefault="00DB1BF1" w:rsidP="005B021F">
            <w:pPr>
              <w:pStyle w:val="a9"/>
              <w:ind w:left="720"/>
              <w:jc w:val="center"/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</w:pPr>
            <w:r w:rsidRPr="00BF1E11">
              <w:rPr>
                <w:rFonts w:ascii="Bookman Old Style" w:hAnsi="Bookman Old Style"/>
                <w:bCs/>
                <w:sz w:val="22"/>
                <w:szCs w:val="22"/>
                <w:lang w:val="uk-UA"/>
              </w:rPr>
              <w:t>КАС</w:t>
            </w:r>
          </w:p>
        </w:tc>
      </w:tr>
      <w:tr w:rsidR="00DB1BF1" w:rsidRPr="00FF3712" w:rsidTr="00DB1BF1">
        <w:trPr>
          <w:trHeight w:val="123"/>
        </w:trPr>
        <w:tc>
          <w:tcPr>
            <w:tcW w:w="144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1. Пред</w:t>
            </w:r>
            <w:r w:rsidRPr="00C20BE4">
              <w:rPr>
                <w:rFonts w:ascii="Bookman Old Style" w:hAnsi="Bookman Old Style"/>
                <w:b/>
                <w:i/>
                <w:iCs/>
                <w:color w:val="000000"/>
                <w:sz w:val="18"/>
                <w:szCs w:val="18"/>
                <w:lang w:val="uk-UA"/>
              </w:rPr>
              <w:t>'</w:t>
            </w: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явлення позову</w:t>
            </w:r>
            <w:r w:rsidRPr="00C20BE4"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  <w:t xml:space="preserve"> (</w:t>
            </w: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позивач має право заявити клопотання про розгляд справи за правилами спрощеного позовного провадження</w:t>
            </w:r>
            <w:r w:rsidRPr="00C20BE4"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  <w:t>)</w:t>
            </w:r>
          </w:p>
        </w:tc>
      </w:tr>
      <w:tr w:rsidR="00DB1BF1" w:rsidRPr="00FF3712" w:rsidTr="005B021F">
        <w:trPr>
          <w:trHeight w:val="312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 xml:space="preserve">2. Вивчення позовної заяви для вирішення питання про: 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 xml:space="preserve">- </w:t>
            </w: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прийняття позовної заяви до розгляду та відкриття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відмови у відкритті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залишення позовної заяви без руху для уснунення недоліків;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- повернення позовної заяви.</w:t>
            </w:r>
          </w:p>
          <w:p w:rsidR="00DB1BF1" w:rsidRPr="00C20BE4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2. Вивчення позо</w:t>
            </w:r>
            <w:r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в</w:t>
            </w: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ної заяви для вирішення питання про: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прийняття позовної заяви до розгляду та відкриття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відмови у відкритті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 w:rsidRPr="00C20BE4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залишення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 позовної заяви без руху для ус</w:t>
            </w:r>
            <w:r w:rsidRPr="00C20BE4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унення недоліків ( у разі недотримання вимог ст. ст. 162, 164, 172 ГПК);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повернення позовної заяви.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 xml:space="preserve">2. Вивчення позовної заяви для вирішення питання про: 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 xml:space="preserve">- </w:t>
            </w: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прийняття позовної заяви до розгляду та відкриття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відмови у відкритті провадження;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- залишення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позовної заяви без руху для ус</w:t>
            </w: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унення недоліків;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- повернення позовної заяви.</w:t>
            </w:r>
          </w:p>
          <w:p w:rsidR="00DB1BF1" w:rsidRPr="00C20BE4" w:rsidRDefault="00DB1BF1" w:rsidP="005B021F">
            <w:pPr>
              <w:pStyle w:val="a9"/>
              <w:ind w:left="7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</w:p>
        </w:tc>
      </w:tr>
      <w:tr w:rsidR="00DB1BF1" w:rsidRPr="00FF3712" w:rsidTr="00DB1BF1">
        <w:trPr>
          <w:trHeight w:val="2196"/>
        </w:trPr>
        <w:tc>
          <w:tcPr>
            <w:tcW w:w="144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3. </w:t>
            </w:r>
            <w:r w:rsidRPr="00C20BE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val="uk-UA"/>
              </w:rPr>
              <w:t>Підготовче провадження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>Завдання: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9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остаточне визначення предмету спору та характеру спірних правовідносин, позовних вимог та складу учасників судового процесу; - з’ясування заперечень проти позовних вимог;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9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визначення обставин справи, які підлягають встановленню, та зібрання відповідних доказів;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9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вирішення відводів;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9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визначення порядку розгляду справи;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9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вчинення інших дій з метою забезпечення правильного, своєчасного і безперешкодного розгляду справи по суті.</w:t>
            </w:r>
          </w:p>
          <w:p w:rsidR="00DB1BF1" w:rsidRPr="00C20BE4" w:rsidRDefault="00DB1BF1" w:rsidP="005B021F">
            <w:pPr>
              <w:pStyle w:val="a9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>Строки:</w:t>
            </w:r>
          </w:p>
          <w:p w:rsidR="00DB1BF1" w:rsidRPr="00C20BE4" w:rsidRDefault="00DB1BF1" w:rsidP="005B021F">
            <w:pPr>
              <w:pStyle w:val="a9"/>
              <w:numPr>
                <w:ilvl w:val="0"/>
                <w:numId w:val="8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60 днів з дня відкриття провадження у справі;</w:t>
            </w:r>
          </w:p>
          <w:p w:rsidR="00DB1BF1" w:rsidRPr="00C20BE4" w:rsidRDefault="00DB1BF1" w:rsidP="005B021F">
            <w:pPr>
              <w:pStyle w:val="a9"/>
              <w:numPr>
                <w:ilvl w:val="0"/>
                <w:numId w:val="8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у виняткових випадках строк може бути продовжений не більше ніж на 30 днів (за клопотанням сторін)</w:t>
            </w:r>
          </w:p>
        </w:tc>
      </w:tr>
      <w:tr w:rsidR="00DB1BF1" w:rsidRPr="00FF3712" w:rsidTr="005B021F">
        <w:trPr>
          <w:trHeight w:val="312"/>
        </w:trPr>
        <w:tc>
          <w:tcPr>
            <w:tcW w:w="144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uk-UA"/>
              </w:rPr>
              <w:t>4. Врегулювання спору за участі судді (не обов’язкова стадія)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0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проводиться за згодою сторін до початку розгляду справи по суті;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0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проводиться протягом розумного строку, але не більше 30 днів з дня постановлення ухвали про його проведення;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проводиться у формі спільних та(або) закритих нарад.</w:t>
            </w:r>
          </w:p>
        </w:tc>
      </w:tr>
      <w:tr w:rsidR="00DB1BF1" w:rsidRPr="00FF3712" w:rsidTr="00DB1BF1">
        <w:trPr>
          <w:trHeight w:val="815"/>
        </w:trPr>
        <w:tc>
          <w:tcPr>
            <w:tcW w:w="46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B1BF1" w:rsidRPr="00DB1BF1" w:rsidRDefault="00DB1BF1" w:rsidP="005B021F">
            <w:pPr>
              <w:pStyle w:val="a9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BF1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  <w:lang w:val="uk-UA"/>
              </w:rPr>
              <w:t>Виняток</w:t>
            </w:r>
            <w:r w:rsidRPr="00DB1BF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 xml:space="preserve">: </w:t>
            </w:r>
            <w:r w:rsidRPr="00DB1BF1">
              <w:rPr>
                <w:rFonts w:ascii="Bookman Old Style" w:hAnsi="Bookman Old Style"/>
                <w:bCs/>
                <w:sz w:val="16"/>
                <w:szCs w:val="16"/>
                <w:lang w:val="uk-UA"/>
              </w:rPr>
              <w:t>не допускається у випадку вступу третьої оосби з самостійними вимогами</w:t>
            </w:r>
          </w:p>
        </w:tc>
        <w:tc>
          <w:tcPr>
            <w:tcW w:w="507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B1BF1" w:rsidRPr="00DB1BF1" w:rsidRDefault="00DB1BF1" w:rsidP="005B021F">
            <w:pPr>
              <w:pStyle w:val="a9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BF1">
              <w:rPr>
                <w:rFonts w:ascii="Bookman Old Style" w:hAnsi="Bookman Old Style"/>
                <w:b/>
                <w:iCs/>
                <w:sz w:val="16"/>
                <w:szCs w:val="16"/>
                <w:u w:val="single"/>
                <w:lang w:val="uk-UA"/>
              </w:rPr>
              <w:t>Виняток:</w:t>
            </w:r>
            <w:r w:rsidRPr="00DB1BF1">
              <w:rPr>
                <w:rFonts w:ascii="Bookman Old Style" w:hAnsi="Bookman Old Style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DB1BF1">
              <w:rPr>
                <w:rFonts w:ascii="Bookman Old Style" w:hAnsi="Bookman Old Style"/>
                <w:bCs/>
                <w:sz w:val="16"/>
                <w:szCs w:val="16"/>
                <w:lang w:val="uk-UA"/>
              </w:rPr>
              <w:t>не допускається у спорах про відновлення платоспроможності боржника чи визнання його банкрутом; за заявами про затвердження планів санації боржника; у випадку вступу третьої особи з самостійними вимогами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DB1BF1" w:rsidRDefault="00DB1BF1" w:rsidP="005B021F">
            <w:pPr>
              <w:pStyle w:val="a9"/>
              <w:jc w:val="both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BF1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  <w:lang w:val="uk-UA"/>
              </w:rPr>
              <w:t>Виняток:</w:t>
            </w:r>
            <w:r w:rsidRPr="00DB1BF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B1BF1">
              <w:rPr>
                <w:rFonts w:ascii="Bookman Old Style" w:hAnsi="Bookman Old Style"/>
                <w:bCs/>
                <w:sz w:val="16"/>
                <w:szCs w:val="16"/>
                <w:lang w:val="uk-UA"/>
              </w:rPr>
              <w:t>не допускається в окремих категоріях справ складних адміністративних справ, передбачених главою 11 розділу 2 КАСУ та типових справах; у випадку вступу третьої особи з самостійними вимогами</w:t>
            </w:r>
          </w:p>
        </w:tc>
      </w:tr>
      <w:tr w:rsidR="00DB1BF1" w:rsidRPr="00C20BE4" w:rsidTr="005B021F">
        <w:trPr>
          <w:trHeight w:val="1026"/>
        </w:trPr>
        <w:tc>
          <w:tcPr>
            <w:tcW w:w="1445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1BF1" w:rsidRPr="00C20BE4" w:rsidRDefault="00DB1BF1" w:rsidP="005B021F">
            <w:pPr>
              <w:pStyle w:val="a9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 xml:space="preserve">5. </w:t>
            </w:r>
            <w:r w:rsidRPr="00C20BE4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Розгляд справи по суті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1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>розгляд здійснюється протягом 30 днів з дня початку розгляду справи по суті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1"/>
              </w:num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розгляд зупиняється в окремих випадках (для ЦПК:ст.251 та ст. 252; для ГПК: ст.227 та ст. 228; для КАС: ст. 236)</w:t>
            </w:r>
          </w:p>
          <w:p w:rsidR="00DB1BF1" w:rsidRPr="00C20BE4" w:rsidRDefault="00DB1BF1" w:rsidP="00DB1BF1">
            <w:pPr>
              <w:pStyle w:val="a9"/>
              <w:numPr>
                <w:ilvl w:val="0"/>
                <w:numId w:val="11"/>
              </w:num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в ГПК </w:t>
            </w:r>
            <w:r w:rsidRPr="00C20BE4"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  <w:t>запроваджуються судові дебати (тривалість та черговість визначаються головуючим)</w:t>
            </w:r>
          </w:p>
          <w:p w:rsidR="00DB1BF1" w:rsidRPr="00BF1E11" w:rsidRDefault="00DB1BF1" w:rsidP="00DB1BF1">
            <w:pPr>
              <w:pStyle w:val="a9"/>
              <w:numPr>
                <w:ilvl w:val="0"/>
                <w:numId w:val="11"/>
              </w:num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20BE4">
              <w:rPr>
                <w:rFonts w:ascii="Bookman Old Style" w:hAnsi="Bookman Old Style"/>
                <w:bCs/>
                <w:sz w:val="18"/>
                <w:szCs w:val="18"/>
                <w:lang w:val="uk-UA"/>
              </w:rPr>
              <w:t>розгляд справи по суті закінчується:</w:t>
            </w:r>
            <w:r w:rsidRPr="00C20BE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1) ухваленням рішення суду 2) залишенням позову без розгляду 3) закриттям провадження у справі</w:t>
            </w:r>
          </w:p>
        </w:tc>
      </w:tr>
    </w:tbl>
    <w:p w:rsidR="00FA0DA1" w:rsidRPr="00DB1BF1" w:rsidRDefault="00FA0DA1" w:rsidP="001902B1">
      <w:pPr>
        <w:rPr>
          <w:sz w:val="16"/>
          <w:szCs w:val="16"/>
          <w:vertAlign w:val="superscript"/>
        </w:rPr>
      </w:pPr>
    </w:p>
    <w:sectPr w:rsidR="00FA0DA1" w:rsidRPr="00DB1BF1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CB" w:rsidRDefault="00BF40CB" w:rsidP="001D748D">
      <w:pPr>
        <w:spacing w:after="0" w:line="240" w:lineRule="auto"/>
      </w:pPr>
      <w:r>
        <w:separator/>
      </w:r>
    </w:p>
  </w:endnote>
  <w:endnote w:type="continuationSeparator" w:id="1">
    <w:p w:rsidR="00BF40CB" w:rsidRDefault="00BF40CB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CB" w:rsidRDefault="00BF40CB" w:rsidP="001D748D">
      <w:pPr>
        <w:spacing w:after="0" w:line="240" w:lineRule="auto"/>
      </w:pPr>
      <w:r>
        <w:separator/>
      </w:r>
    </w:p>
  </w:footnote>
  <w:footnote w:type="continuationSeparator" w:id="1">
    <w:p w:rsidR="00BF40CB" w:rsidRDefault="00BF40CB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D7D"/>
    <w:multiLevelType w:val="hybridMultilevel"/>
    <w:tmpl w:val="EE68B4A6"/>
    <w:lvl w:ilvl="0" w:tplc="965837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D531F"/>
    <w:multiLevelType w:val="hybridMultilevel"/>
    <w:tmpl w:val="1924BFA8"/>
    <w:lvl w:ilvl="0" w:tplc="9658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33F2"/>
    <w:multiLevelType w:val="hybridMultilevel"/>
    <w:tmpl w:val="05B0727E"/>
    <w:lvl w:ilvl="0" w:tplc="965837D8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0DE8"/>
    <w:multiLevelType w:val="hybridMultilevel"/>
    <w:tmpl w:val="A188795E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34EC2"/>
    <w:multiLevelType w:val="hybridMultilevel"/>
    <w:tmpl w:val="93162374"/>
    <w:lvl w:ilvl="0" w:tplc="324AAC32"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427E5"/>
    <w:multiLevelType w:val="multilevel"/>
    <w:tmpl w:val="85B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86D3B10"/>
    <w:multiLevelType w:val="multilevel"/>
    <w:tmpl w:val="15F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78C97A9E"/>
    <w:multiLevelType w:val="hybridMultilevel"/>
    <w:tmpl w:val="BF56E914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35C52"/>
    <w:rsid w:val="000A53CB"/>
    <w:rsid w:val="00120412"/>
    <w:rsid w:val="00165BEE"/>
    <w:rsid w:val="001902B1"/>
    <w:rsid w:val="001D748D"/>
    <w:rsid w:val="002A40B0"/>
    <w:rsid w:val="0033140D"/>
    <w:rsid w:val="004819E6"/>
    <w:rsid w:val="00674827"/>
    <w:rsid w:val="00675A1C"/>
    <w:rsid w:val="006A7274"/>
    <w:rsid w:val="00701A0F"/>
    <w:rsid w:val="007852E4"/>
    <w:rsid w:val="007D46C4"/>
    <w:rsid w:val="0080018E"/>
    <w:rsid w:val="00821B15"/>
    <w:rsid w:val="0086060B"/>
    <w:rsid w:val="00A51A9E"/>
    <w:rsid w:val="00A94C22"/>
    <w:rsid w:val="00AA3B13"/>
    <w:rsid w:val="00AF7653"/>
    <w:rsid w:val="00B73969"/>
    <w:rsid w:val="00BB4118"/>
    <w:rsid w:val="00BF40CB"/>
    <w:rsid w:val="00C87C89"/>
    <w:rsid w:val="00CB73D1"/>
    <w:rsid w:val="00CC7684"/>
    <w:rsid w:val="00D2006E"/>
    <w:rsid w:val="00DB1BF1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  <w:style w:type="paragraph" w:styleId="1">
    <w:name w:val="index 1"/>
    <w:basedOn w:val="a"/>
    <w:next w:val="a"/>
    <w:autoRedefine/>
    <w:uiPriority w:val="99"/>
    <w:semiHidden/>
    <w:unhideWhenUsed/>
    <w:rsid w:val="00D2006E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2006E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D2006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2006E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B73D1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A51A9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3</cp:revision>
  <dcterms:created xsi:type="dcterms:W3CDTF">2017-12-14T03:51:00Z</dcterms:created>
  <dcterms:modified xsi:type="dcterms:W3CDTF">2018-01-10T13:55:00Z</dcterms:modified>
</cp:coreProperties>
</file>