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152" w:type="dxa"/>
        <w:tblLayout w:type="fixed"/>
        <w:tblLook w:val="04A0"/>
      </w:tblPr>
      <w:tblGrid>
        <w:gridCol w:w="2943"/>
        <w:gridCol w:w="851"/>
        <w:gridCol w:w="4252"/>
        <w:gridCol w:w="3402"/>
        <w:gridCol w:w="709"/>
        <w:gridCol w:w="2977"/>
        <w:gridCol w:w="7"/>
        <w:gridCol w:w="11"/>
      </w:tblGrid>
      <w:tr w:rsidR="00FB4657" w:rsidRPr="00311C51" w:rsidTr="00FB4657">
        <w:trPr>
          <w:gridAfter w:val="1"/>
          <w:wAfter w:w="11" w:type="dxa"/>
          <w:trHeight w:val="128"/>
        </w:trPr>
        <w:tc>
          <w:tcPr>
            <w:tcW w:w="15141" w:type="dxa"/>
            <w:gridSpan w:val="7"/>
          </w:tcPr>
          <w:p w:rsidR="00FB4657" w:rsidRPr="00FB4657" w:rsidRDefault="00FB4657" w:rsidP="005B021F">
            <w:pPr>
              <w:jc w:val="center"/>
              <w:rPr>
                <w:rFonts w:ascii="Bookman Old Style" w:hAnsi="Bookman Old Style"/>
                <w:b/>
                <w:lang w:val="en-US"/>
              </w:rPr>
            </w:pPr>
            <w:r w:rsidRPr="00FB4657">
              <w:rPr>
                <w:rFonts w:ascii="Bookman Old Style" w:hAnsi="Bookman Old Style"/>
              </w:rPr>
              <w:t>Таблиця №</w:t>
            </w:r>
            <w:r w:rsidRPr="00FB4657">
              <w:rPr>
                <w:rFonts w:ascii="Bookman Old Style" w:hAnsi="Bookman Old Style"/>
                <w:lang w:val="en-US"/>
              </w:rPr>
              <w:t>10</w:t>
            </w:r>
          </w:p>
        </w:tc>
      </w:tr>
      <w:tr w:rsidR="00FB4657" w:rsidRPr="00311C51" w:rsidTr="005B021F">
        <w:trPr>
          <w:gridAfter w:val="1"/>
          <w:wAfter w:w="11" w:type="dxa"/>
          <w:trHeight w:val="127"/>
        </w:trPr>
        <w:tc>
          <w:tcPr>
            <w:tcW w:w="15141" w:type="dxa"/>
            <w:gridSpan w:val="7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НЕГАЙНЕ ВИКОНАННЯ СУДОВИХ РІШЕНЬ</w:t>
            </w:r>
          </w:p>
        </w:tc>
      </w:tr>
      <w:tr w:rsidR="00FB4657" w:rsidRPr="00311C51" w:rsidTr="00FB4657">
        <w:trPr>
          <w:gridAfter w:val="1"/>
          <w:wAfter w:w="11" w:type="dxa"/>
        </w:trPr>
        <w:tc>
          <w:tcPr>
            <w:tcW w:w="8046" w:type="dxa"/>
            <w:gridSpan w:val="3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Було</w:t>
            </w:r>
          </w:p>
        </w:tc>
        <w:tc>
          <w:tcPr>
            <w:tcW w:w="7095" w:type="dxa"/>
            <w:gridSpan w:val="4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b/>
                <w:lang w:val="uk-UA"/>
              </w:rPr>
            </w:pPr>
            <w:r w:rsidRPr="00311C51">
              <w:rPr>
                <w:rFonts w:ascii="Bookman Old Style" w:hAnsi="Bookman Old Style"/>
                <w:b/>
                <w:lang w:val="uk-UA"/>
              </w:rPr>
              <w:t>Стало</w:t>
            </w:r>
          </w:p>
        </w:tc>
      </w:tr>
      <w:tr w:rsidR="00FB4657" w:rsidRPr="00311C51" w:rsidTr="00FB4657">
        <w:tc>
          <w:tcPr>
            <w:tcW w:w="2943" w:type="dxa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11C51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851" w:type="dxa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11C51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4252" w:type="dxa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11C51">
              <w:rPr>
                <w:rFonts w:ascii="Bookman Old Style" w:hAnsi="Bookman Old Style"/>
                <w:lang w:val="uk-UA"/>
              </w:rPr>
              <w:t>КАС</w:t>
            </w:r>
          </w:p>
        </w:tc>
        <w:tc>
          <w:tcPr>
            <w:tcW w:w="3402" w:type="dxa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11C51">
              <w:rPr>
                <w:rFonts w:ascii="Bookman Old Style" w:hAnsi="Bookman Old Style"/>
                <w:lang w:val="uk-UA"/>
              </w:rPr>
              <w:t>ЦПК</w:t>
            </w:r>
          </w:p>
        </w:tc>
        <w:tc>
          <w:tcPr>
            <w:tcW w:w="709" w:type="dxa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11C51">
              <w:rPr>
                <w:rFonts w:ascii="Bookman Old Style" w:hAnsi="Bookman Old Style"/>
                <w:lang w:val="uk-UA"/>
              </w:rPr>
              <w:t>ГПК</w:t>
            </w:r>
          </w:p>
        </w:tc>
        <w:tc>
          <w:tcPr>
            <w:tcW w:w="2995" w:type="dxa"/>
            <w:gridSpan w:val="3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lang w:val="uk-UA"/>
              </w:rPr>
            </w:pPr>
            <w:r w:rsidRPr="00311C51">
              <w:rPr>
                <w:rFonts w:ascii="Bookman Old Style" w:hAnsi="Bookman Old Style"/>
                <w:lang w:val="uk-UA"/>
              </w:rPr>
              <w:t>КАС</w:t>
            </w:r>
          </w:p>
        </w:tc>
      </w:tr>
      <w:tr w:rsidR="00FB4657" w:rsidRPr="003D2291" w:rsidTr="00FB4657">
        <w:trPr>
          <w:gridAfter w:val="2"/>
          <w:wAfter w:w="18" w:type="dxa"/>
          <w:trHeight w:val="70"/>
        </w:trPr>
        <w:tc>
          <w:tcPr>
            <w:tcW w:w="2943" w:type="dxa"/>
          </w:tcPr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стягнення аліментів - у межах суми платежу за один місяць;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0" w:name="n2451"/>
            <w:bookmarkEnd w:id="0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присудження працівникові виплати заробітної плати, але не більше ніж за один місяць;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" w:name="n2452"/>
            <w:bookmarkEnd w:id="1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відшкодування шкоди, завданої каліцтвом, іншим ушкодженням здоров'я або смертю фізичної особи, - у межах суми стягнення за один місяць;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2" w:name="n2453"/>
            <w:bookmarkEnd w:id="2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поновлення на роботі незаконно звільненого або переведеного на іншу роботу працівника;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3" w:name="n2454"/>
            <w:bookmarkEnd w:id="3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відібрання дитини і повернення її тому, з ким вона проживала;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4" w:name="n2455"/>
            <w:bookmarkEnd w:id="4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розкриття банком інформації, яка містить банківську таємницю, щодо юридичних та фізичних осіб;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5" w:name="n2456"/>
            <w:bookmarkEnd w:id="5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примусову госпіталізацію чи продовження строку примусової госпіталізації до протитуберкульозного закладу;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tabs>
                <w:tab w:val="left" w:pos="284"/>
              </w:tabs>
              <w:ind w:left="0" w:firstLine="0"/>
              <w:jc w:val="both"/>
              <w:rPr>
                <w:sz w:val="18"/>
                <w:szCs w:val="18"/>
                <w:lang w:val="uk-UA"/>
              </w:rPr>
            </w:pPr>
            <w:bookmarkStart w:id="6" w:name="n2457"/>
            <w:bookmarkStart w:id="7" w:name="n3009"/>
            <w:bookmarkEnd w:id="6"/>
            <w:bookmarkEnd w:id="7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встановлення факту народження або смерті особи на тимчасово окупованій території України, визначеній Верховною Радою України.</w:t>
            </w:r>
          </w:p>
          <w:p w:rsidR="00FB4657" w:rsidRPr="00B35270" w:rsidRDefault="00FB4657" w:rsidP="005B021F">
            <w:pPr>
              <w:rPr>
                <w:rFonts w:ascii="Bookman Old Style" w:hAnsi="Bookman Old Style"/>
                <w:sz w:val="16"/>
                <w:szCs w:val="16"/>
                <w:lang w:val="uk-UA"/>
              </w:rPr>
            </w:pPr>
          </w:p>
        </w:tc>
        <w:tc>
          <w:tcPr>
            <w:tcW w:w="851" w:type="dxa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Не встановлено</w:t>
            </w:r>
          </w:p>
        </w:tc>
        <w:tc>
          <w:tcPr>
            <w:tcW w:w="4252" w:type="dxa"/>
          </w:tcPr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присудження виплати пенсій, інших періодичних платежів з Державного бюджету України або позабюджетних державних фондів - у межах суми стягнення за один місяць;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8" w:name="n2355"/>
            <w:bookmarkEnd w:id="8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присудження виплати заробітної плати, іншого грошового утримання у відносинах публічної служби - у межах суми стягнення за один місяць;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9" w:name="n2356"/>
            <w:bookmarkEnd w:id="9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поновлення на посаді у відносинах публічної служби;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0" w:name="n2357"/>
            <w:bookmarkEnd w:id="10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припинення повноважень посадової особи у разі порушення нею вимог щодо несумісності;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1" w:name="n2358"/>
            <w:bookmarkEnd w:id="11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уточнення списку виборців;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</w:pPr>
            <w:bookmarkStart w:id="12" w:name="n2359"/>
            <w:bookmarkEnd w:id="12"/>
            <w:r w:rsidRPr="00311C51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обмеження щодо реалізації права на мирні зібрання;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</w:pPr>
            <w:bookmarkStart w:id="13" w:name="n2360"/>
            <w:bookmarkEnd w:id="13"/>
            <w:r w:rsidRPr="00311C51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усунення обмежень у реалізації права на мирні зібрання;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bookmarkStart w:id="14" w:name="n2361"/>
            <w:bookmarkEnd w:id="14"/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накладення арешту на активи, що пов'язані з фінансуванням тероризму та стосуються фінансових операцій, зупинених відповідно до рішення, прийнятого на підставі резолюцій Ради Безпеки ООН, зняття арешту з таких активів та надання доступу до них;</w:t>
            </w:r>
            <w:bookmarkStart w:id="15" w:name="n2362"/>
            <w:bookmarkEnd w:id="15"/>
          </w:p>
          <w:p w:rsidR="00FB4657" w:rsidRPr="00311C51" w:rsidRDefault="00FB4657" w:rsidP="00FB4657">
            <w:pPr>
              <w:pStyle w:val="ad"/>
              <w:numPr>
                <w:ilvl w:val="0"/>
                <w:numId w:val="14"/>
              </w:numPr>
              <w:ind w:left="0" w:firstLine="34"/>
              <w:jc w:val="both"/>
              <w:rPr>
                <w:sz w:val="16"/>
                <w:szCs w:val="16"/>
                <w:u w:val="single"/>
                <w:lang w:val="uk-UA"/>
              </w:rPr>
            </w:pPr>
            <w:bookmarkStart w:id="16" w:name="n2364"/>
            <w:bookmarkEnd w:id="16"/>
            <w:r w:rsidRPr="00311C51">
              <w:rPr>
                <w:rFonts w:ascii="Bookman Old Style" w:hAnsi="Bookman Old Style"/>
                <w:sz w:val="18"/>
                <w:szCs w:val="18"/>
                <w:u w:val="single"/>
                <w:lang w:val="uk-UA"/>
              </w:rPr>
              <w:t>повне або часткове зупинення роботи підприємств, окремих виробництв, виробничих дільниць, експлуатації будівель, об'єктів, споруд, цехів, дільниць, а також машин, механізмів, устаткування, транспортних засобів, проведення робіт, у тому числі будівельно-монтажних, випуску і реалізації пожежонебезпечної продукції, систем та засобів протипожежного захисту, надання послуг, якщо це загрожує життю та/або здоров'ю людей.</w:t>
            </w:r>
          </w:p>
        </w:tc>
        <w:tc>
          <w:tcPr>
            <w:tcW w:w="3402" w:type="dxa"/>
          </w:tcPr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стягнення аліментів - у межах суми платежу за один місяць;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присудження працівникові виплати заробітної плати, але не більше ніж за один місяць;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відшкодування шкоди, завданої каліцтвом, іншим ушкодженням здоров'я або смертю фізичної особи, - у межах суми стягнення за один місяць;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поновлення на роботі незаконно звільненого або переведеного на іншу роботу працівника;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відібрання дитини і повернення її тому, з ким вона проживала;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розкриття банком інформації, яка містить банківську таємницю, щодо юридичних та фізичних осіб;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примусову госпіталізацію чи продовження строку примусової госпіталізації до протитуберкульозного закладу;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встановлення факту народження або смерті особи на тимчасово окупованій території України, визначеній Верховною Радою України;</w:t>
            </w:r>
          </w:p>
          <w:p w:rsidR="00FB4657" w:rsidRPr="00311C51" w:rsidRDefault="00FB4657" w:rsidP="00FB4657">
            <w:pPr>
              <w:pStyle w:val="ad"/>
              <w:numPr>
                <w:ilvl w:val="0"/>
                <w:numId w:val="13"/>
              </w:numPr>
              <w:ind w:left="0" w:firstLine="0"/>
              <w:jc w:val="both"/>
              <w:rPr>
                <w:b/>
                <w:i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b/>
                <w:i/>
                <w:sz w:val="18"/>
                <w:szCs w:val="18"/>
                <w:lang w:val="uk-UA"/>
              </w:rPr>
              <w:t>надання особі психіатричної допомоги у примусовому порядку</w:t>
            </w:r>
          </w:p>
          <w:p w:rsidR="00FB4657" w:rsidRPr="00B35270" w:rsidRDefault="00FB4657" w:rsidP="005B021F">
            <w:pPr>
              <w:rPr>
                <w:rFonts w:ascii="Bookman Old Style" w:hAnsi="Bookman Old Style"/>
                <w:b/>
                <w:i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</w:tcPr>
          <w:p w:rsidR="00FB4657" w:rsidRPr="00311C51" w:rsidRDefault="00FB4657" w:rsidP="005B021F">
            <w:pPr>
              <w:jc w:val="center"/>
              <w:rPr>
                <w:rFonts w:ascii="Bookman Old Style" w:hAnsi="Bookman Old Style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sz w:val="18"/>
                <w:szCs w:val="18"/>
                <w:lang w:val="uk-UA"/>
              </w:rPr>
              <w:t>Не встановлено</w:t>
            </w:r>
          </w:p>
        </w:tc>
        <w:tc>
          <w:tcPr>
            <w:tcW w:w="2977" w:type="dxa"/>
          </w:tcPr>
          <w:p w:rsidR="00FB4657" w:rsidRPr="00311C51" w:rsidRDefault="00FB4657" w:rsidP="00FB46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36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r w:rsidRPr="00311C51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присудження виплати пенсій, інших періодичних платежів з державного бюджету україни або позабюджетних державних фондів - у межах суми стягнення за один місяць;</w:t>
            </w:r>
          </w:p>
          <w:p w:rsidR="00FB4657" w:rsidRPr="00311C51" w:rsidRDefault="00FB4657" w:rsidP="00FB46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36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17" w:name="n12458"/>
            <w:bookmarkEnd w:id="17"/>
            <w:r w:rsidRPr="00311C51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присудження виплати заробітної плати, іншого грошового утримання у відносинах публічної служби - у межах суми стягнення за один місяць;</w:t>
            </w:r>
          </w:p>
          <w:p w:rsidR="00FB4657" w:rsidRPr="00311C51" w:rsidRDefault="00FB4657" w:rsidP="00FB46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36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18" w:name="n12459"/>
            <w:bookmarkEnd w:id="18"/>
            <w:r w:rsidRPr="00311C51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поновлення на посаді у відносинах публічної служби;</w:t>
            </w:r>
          </w:p>
          <w:p w:rsidR="00FB4657" w:rsidRPr="00311C51" w:rsidRDefault="00FB4657" w:rsidP="00FB46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36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19" w:name="n12460"/>
            <w:bookmarkEnd w:id="19"/>
            <w:r w:rsidRPr="00311C51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припинення повноважень посадової особи у разі порушення нею вимог щодо несумісності;</w:t>
            </w:r>
          </w:p>
          <w:p w:rsidR="00FB4657" w:rsidRPr="00311C51" w:rsidRDefault="00FB4657" w:rsidP="00FB46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36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20" w:name="n12461"/>
            <w:bookmarkEnd w:id="20"/>
            <w:r w:rsidRPr="00311C51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уточнення списку виборців;</w:t>
            </w:r>
          </w:p>
          <w:p w:rsidR="00FB4657" w:rsidRPr="00311C51" w:rsidRDefault="00FB4657" w:rsidP="00FB46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36"/>
              <w:jc w:val="both"/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</w:pPr>
            <w:bookmarkStart w:id="21" w:name="n12462"/>
            <w:bookmarkEnd w:id="21"/>
            <w:r w:rsidRPr="00311C51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усунення перешкод та заборону втручання у здійснення свободи мирних зібрань;</w:t>
            </w:r>
          </w:p>
          <w:p w:rsidR="00FB4657" w:rsidRPr="00B35270" w:rsidRDefault="00FB4657" w:rsidP="00FB4657">
            <w:pPr>
              <w:pStyle w:val="rvps2"/>
              <w:numPr>
                <w:ilvl w:val="0"/>
                <w:numId w:val="15"/>
              </w:numPr>
              <w:shd w:val="clear" w:color="auto" w:fill="FFFFFF"/>
              <w:spacing w:before="0" w:beforeAutospacing="0" w:after="0" w:afterAutospacing="0"/>
              <w:ind w:left="0" w:firstLine="36"/>
              <w:jc w:val="both"/>
              <w:rPr>
                <w:rFonts w:ascii="Bookman Old Style" w:hAnsi="Bookman Old Style"/>
                <w:color w:val="000000"/>
                <w:sz w:val="16"/>
                <w:szCs w:val="16"/>
                <w:lang w:val="uk-UA"/>
              </w:rPr>
            </w:pPr>
            <w:bookmarkStart w:id="22" w:name="n12463"/>
            <w:bookmarkEnd w:id="22"/>
            <w:r w:rsidRPr="00311C51">
              <w:rPr>
                <w:rFonts w:ascii="Bookman Old Style" w:hAnsi="Bookman Old Style"/>
                <w:color w:val="000000"/>
                <w:sz w:val="18"/>
                <w:szCs w:val="18"/>
                <w:lang w:val="uk-UA"/>
              </w:rPr>
              <w:t>накладення арешту на активи, що пов’язані з фінансуванням тероризму та стосуються фінансових операцій, зупинених відповідно до рішення, прийнятого на підставі резолюцій ради безпеки оон, зняття арешту з таких активів та надання доступу до них.</w:t>
            </w:r>
          </w:p>
        </w:tc>
      </w:tr>
    </w:tbl>
    <w:p w:rsidR="00FA0DA1" w:rsidRPr="00FB4657" w:rsidRDefault="00FA0DA1" w:rsidP="001902B1">
      <w:pPr>
        <w:rPr>
          <w:sz w:val="16"/>
          <w:szCs w:val="16"/>
          <w:vertAlign w:val="superscript"/>
          <w:lang w:val="uk-UA"/>
        </w:rPr>
      </w:pPr>
    </w:p>
    <w:sectPr w:rsidR="00FA0DA1" w:rsidRPr="00FB4657" w:rsidSect="00821B15">
      <w:headerReference w:type="default" r:id="rId8"/>
      <w:footerReference w:type="default" r:id="rId9"/>
      <w:pgSz w:w="16838" w:h="11906" w:orient="landscape"/>
      <w:pgMar w:top="1415" w:right="1134" w:bottom="1135" w:left="1134" w:header="855" w:footer="90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504C" w:rsidRDefault="0041504C" w:rsidP="001D748D">
      <w:pPr>
        <w:spacing w:after="0" w:line="240" w:lineRule="auto"/>
      </w:pPr>
      <w:r>
        <w:separator/>
      </w:r>
    </w:p>
  </w:endnote>
  <w:endnote w:type="continuationSeparator" w:id="1">
    <w:p w:rsidR="0041504C" w:rsidRDefault="0041504C" w:rsidP="001D7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Noto Sans CJK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1D748D" w:rsidP="00821B15">
    <w:pPr>
      <w:pStyle w:val="a6"/>
      <w:jc w:val="right"/>
      <w:rPr>
        <w:lang w:val="uk-UA"/>
      </w:rPr>
    </w:pPr>
    <w:r w:rsidRPr="0033140D">
      <w:rPr>
        <w:lang w:val="uk-UA"/>
      </w:rPr>
      <w:t xml:space="preserve">© </w:t>
    </w:r>
    <w:hyperlink r:id="rId1" w:history="1">
      <w:r w:rsidRPr="0033140D">
        <w:rPr>
          <w:lang w:val="uk-UA"/>
        </w:rPr>
        <w:t xml:space="preserve"> Адвокатське об'єднання «</w:t>
      </w:r>
      <w:r w:rsidRPr="0033140D">
        <w:rPr>
          <w:rStyle w:val="a8"/>
          <w:lang w:val="uk-UA"/>
        </w:rPr>
        <w:t>Letrado</w:t>
      </w:r>
    </w:hyperlink>
    <w:r w:rsidRPr="0033140D">
      <w:rPr>
        <w:lang w:val="uk-UA"/>
      </w:rPr>
      <w:t>», 2017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504C" w:rsidRDefault="0041504C" w:rsidP="001D748D">
      <w:pPr>
        <w:spacing w:after="0" w:line="240" w:lineRule="auto"/>
      </w:pPr>
      <w:r>
        <w:separator/>
      </w:r>
    </w:p>
  </w:footnote>
  <w:footnote w:type="continuationSeparator" w:id="1">
    <w:p w:rsidR="0041504C" w:rsidRDefault="0041504C" w:rsidP="001D7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48D" w:rsidRPr="0033140D" w:rsidRDefault="00B73969" w:rsidP="00B73969">
    <w:pPr>
      <w:pStyle w:val="a4"/>
      <w:jc w:val="right"/>
      <w:rPr>
        <w:rFonts w:ascii="Bookman Old Style" w:hAnsi="Bookman Old Style"/>
        <w:lang w:val="uk-UA"/>
      </w:rPr>
    </w:pPr>
    <w:r w:rsidRPr="0033140D">
      <w:rPr>
        <w:rStyle w:val="xfm82484111"/>
        <w:rFonts w:ascii="Bookman Old Style" w:hAnsi="Bookman Old Style"/>
        <w:lang w:val="uk-UA"/>
      </w:rPr>
      <w:t>Розгляд в першій інстанції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F4D7D"/>
    <w:multiLevelType w:val="hybridMultilevel"/>
    <w:tmpl w:val="EE68B4A6"/>
    <w:lvl w:ilvl="0" w:tplc="965837D8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F6082E"/>
    <w:multiLevelType w:val="hybridMultilevel"/>
    <w:tmpl w:val="EC3E8A34"/>
    <w:lvl w:ilvl="0" w:tplc="0419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58F26C2"/>
    <w:multiLevelType w:val="hybridMultilevel"/>
    <w:tmpl w:val="34ACF57A"/>
    <w:lvl w:ilvl="0" w:tplc="041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9FF45EF"/>
    <w:multiLevelType w:val="hybridMultilevel"/>
    <w:tmpl w:val="32C06A94"/>
    <w:lvl w:ilvl="0" w:tplc="965837D8">
      <w:start w:val="1"/>
      <w:numFmt w:val="bullet"/>
      <w:lvlText w:val=""/>
      <w:lvlJc w:val="left"/>
      <w:pPr>
        <w:ind w:left="3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B35608"/>
    <w:multiLevelType w:val="hybridMultilevel"/>
    <w:tmpl w:val="82742718"/>
    <w:lvl w:ilvl="0" w:tplc="96583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441BB2"/>
    <w:multiLevelType w:val="hybridMultilevel"/>
    <w:tmpl w:val="51C6ACD8"/>
    <w:lvl w:ilvl="0" w:tplc="965837D8">
      <w:start w:val="1"/>
      <w:numFmt w:val="bullet"/>
      <w:lvlText w:val=""/>
      <w:lvlJc w:val="left"/>
      <w:pPr>
        <w:ind w:left="3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6">
    <w:nsid w:val="3D8257D2"/>
    <w:multiLevelType w:val="hybridMultilevel"/>
    <w:tmpl w:val="94003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2F0218"/>
    <w:multiLevelType w:val="hybridMultilevel"/>
    <w:tmpl w:val="1C2877E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22D531F"/>
    <w:multiLevelType w:val="hybridMultilevel"/>
    <w:tmpl w:val="1924BFA8"/>
    <w:lvl w:ilvl="0" w:tplc="965837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B33F2"/>
    <w:multiLevelType w:val="hybridMultilevel"/>
    <w:tmpl w:val="05B0727E"/>
    <w:lvl w:ilvl="0" w:tplc="965837D8">
      <w:start w:val="1"/>
      <w:numFmt w:val="bullet"/>
      <w:lvlText w:val=""/>
      <w:lvlJc w:val="left"/>
      <w:pPr>
        <w:ind w:left="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8B0DE8"/>
    <w:multiLevelType w:val="hybridMultilevel"/>
    <w:tmpl w:val="A188795E"/>
    <w:lvl w:ilvl="0" w:tplc="9658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E134EC2"/>
    <w:multiLevelType w:val="hybridMultilevel"/>
    <w:tmpl w:val="93162374"/>
    <w:lvl w:ilvl="0" w:tplc="324AAC32">
      <w:numFmt w:val="bullet"/>
      <w:lvlText w:val="-"/>
      <w:lvlJc w:val="left"/>
      <w:pPr>
        <w:ind w:left="720" w:hanging="360"/>
      </w:pPr>
      <w:rPr>
        <w:rFonts w:ascii="Bookman Old Style" w:eastAsia="Noto Sans CJK SC Regular" w:hAnsi="Bookman Old Style" w:cs="FreeSan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F1427E5"/>
    <w:multiLevelType w:val="multilevel"/>
    <w:tmpl w:val="85B86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3">
    <w:nsid w:val="786D3B10"/>
    <w:multiLevelType w:val="multilevel"/>
    <w:tmpl w:val="15F82D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14">
    <w:nsid w:val="78C97A9E"/>
    <w:multiLevelType w:val="hybridMultilevel"/>
    <w:tmpl w:val="BF56E914"/>
    <w:lvl w:ilvl="0" w:tplc="965837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11"/>
  </w:num>
  <w:num w:numId="5">
    <w:abstractNumId w:val="0"/>
  </w:num>
  <w:num w:numId="6">
    <w:abstractNumId w:val="8"/>
  </w:num>
  <w:num w:numId="7">
    <w:abstractNumId w:val="12"/>
  </w:num>
  <w:num w:numId="8">
    <w:abstractNumId w:val="13"/>
  </w:num>
  <w:num w:numId="9">
    <w:abstractNumId w:val="14"/>
  </w:num>
  <w:num w:numId="10">
    <w:abstractNumId w:val="9"/>
  </w:num>
  <w:num w:numId="11">
    <w:abstractNumId w:val="10"/>
  </w:num>
  <w:num w:numId="12">
    <w:abstractNumId w:val="6"/>
  </w:num>
  <w:num w:numId="13">
    <w:abstractNumId w:val="4"/>
  </w:num>
  <w:num w:numId="14">
    <w:abstractNumId w:val="3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D748D"/>
    <w:rsid w:val="00035C52"/>
    <w:rsid w:val="000A53CB"/>
    <w:rsid w:val="00120412"/>
    <w:rsid w:val="00165BEE"/>
    <w:rsid w:val="00186A40"/>
    <w:rsid w:val="001902B1"/>
    <w:rsid w:val="001D748D"/>
    <w:rsid w:val="002A40B0"/>
    <w:rsid w:val="00317714"/>
    <w:rsid w:val="0033140D"/>
    <w:rsid w:val="0041504C"/>
    <w:rsid w:val="0045510D"/>
    <w:rsid w:val="004819E6"/>
    <w:rsid w:val="00674827"/>
    <w:rsid w:val="00675A1C"/>
    <w:rsid w:val="006A7274"/>
    <w:rsid w:val="00701A0F"/>
    <w:rsid w:val="007852E4"/>
    <w:rsid w:val="007D46C4"/>
    <w:rsid w:val="0080018E"/>
    <w:rsid w:val="00821B15"/>
    <w:rsid w:val="0086060B"/>
    <w:rsid w:val="00A51A9E"/>
    <w:rsid w:val="00A94C22"/>
    <w:rsid w:val="00AA3B13"/>
    <w:rsid w:val="00AF7653"/>
    <w:rsid w:val="00B73969"/>
    <w:rsid w:val="00BB4118"/>
    <w:rsid w:val="00BF40CB"/>
    <w:rsid w:val="00C836FF"/>
    <w:rsid w:val="00C87C89"/>
    <w:rsid w:val="00CB73D1"/>
    <w:rsid w:val="00CC7684"/>
    <w:rsid w:val="00D2006E"/>
    <w:rsid w:val="00DB1BF1"/>
    <w:rsid w:val="00FA0DA1"/>
    <w:rsid w:val="00FA51C2"/>
    <w:rsid w:val="00FB46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index heading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48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48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D748D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D74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D748D"/>
    <w:rPr>
      <w:rFonts w:eastAsiaTheme="minorEastAsia"/>
      <w:lang w:eastAsia="ru-RU"/>
    </w:rPr>
  </w:style>
  <w:style w:type="character" w:styleId="a8">
    <w:name w:val="Hyperlink"/>
    <w:basedOn w:val="a0"/>
    <w:uiPriority w:val="99"/>
    <w:unhideWhenUsed/>
    <w:rsid w:val="001D748D"/>
    <w:rPr>
      <w:color w:val="0000FF" w:themeColor="hyperlink"/>
      <w:u w:val="single"/>
    </w:rPr>
  </w:style>
  <w:style w:type="paragraph" w:customStyle="1" w:styleId="a9">
    <w:name w:val="Содержимое таблицы"/>
    <w:basedOn w:val="a"/>
    <w:qFormat/>
    <w:rsid w:val="00B73969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xfm82484111">
    <w:name w:val="xfm_82484111"/>
    <w:basedOn w:val="a0"/>
    <w:rsid w:val="00B73969"/>
  </w:style>
  <w:style w:type="paragraph" w:styleId="1">
    <w:name w:val="index 1"/>
    <w:basedOn w:val="a"/>
    <w:next w:val="a"/>
    <w:autoRedefine/>
    <w:uiPriority w:val="99"/>
    <w:semiHidden/>
    <w:unhideWhenUsed/>
    <w:rsid w:val="00D2006E"/>
    <w:pPr>
      <w:spacing w:after="0" w:line="240" w:lineRule="auto"/>
      <w:ind w:left="220" w:hanging="220"/>
    </w:pPr>
  </w:style>
  <w:style w:type="paragraph" w:styleId="aa">
    <w:name w:val="index heading"/>
    <w:basedOn w:val="a"/>
    <w:qFormat/>
    <w:rsid w:val="00D2006E"/>
    <w:pPr>
      <w:suppressLineNumbers/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b">
    <w:name w:val="Body Text"/>
    <w:basedOn w:val="a"/>
    <w:link w:val="ac"/>
    <w:rsid w:val="00D2006E"/>
    <w:pPr>
      <w:spacing w:after="140" w:line="288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character" w:customStyle="1" w:styleId="ac">
    <w:name w:val="Основной текст Знак"/>
    <w:basedOn w:val="a0"/>
    <w:link w:val="ab"/>
    <w:rsid w:val="00D2006E"/>
    <w:rPr>
      <w:rFonts w:ascii="Liberation Serif" w:eastAsia="Noto Sans CJK SC Regular" w:hAnsi="Liberation Serif" w:cs="FreeSans"/>
      <w:sz w:val="24"/>
      <w:szCs w:val="24"/>
      <w:lang w:eastAsia="zh-CN" w:bidi="hi-IN"/>
    </w:rPr>
  </w:style>
  <w:style w:type="paragraph" w:styleId="ad">
    <w:name w:val="List Paragraph"/>
    <w:basedOn w:val="a"/>
    <w:uiPriority w:val="34"/>
    <w:qFormat/>
    <w:rsid w:val="00CB73D1"/>
    <w:pPr>
      <w:spacing w:after="0" w:line="240" w:lineRule="auto"/>
      <w:ind w:left="720"/>
      <w:contextualSpacing/>
    </w:pPr>
    <w:rPr>
      <w:rFonts w:ascii="Liberation Serif" w:eastAsia="Noto Sans CJK SC Regular" w:hAnsi="Liberation Serif" w:cs="Mangal"/>
      <w:sz w:val="24"/>
      <w:szCs w:val="21"/>
      <w:lang w:eastAsia="zh-CN" w:bidi="hi-IN"/>
    </w:rPr>
  </w:style>
  <w:style w:type="table" w:customStyle="1" w:styleId="10">
    <w:name w:val="Сетка таблицы1"/>
    <w:basedOn w:val="a1"/>
    <w:next w:val="a3"/>
    <w:uiPriority w:val="59"/>
    <w:rsid w:val="00A51A9E"/>
    <w:pPr>
      <w:spacing w:after="0" w:line="240" w:lineRule="auto"/>
    </w:pPr>
    <w:rPr>
      <w:rFonts w:ascii="Liberation Serif" w:eastAsia="Noto Sans CJK SC Regular" w:hAnsi="Liberation Serif" w:cs="FreeSans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A51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letrado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11F44-DC25-45E2-A8A9-0CE080CD0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552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Letrado</dc:creator>
  <cp:lastModifiedBy>Пользователь</cp:lastModifiedBy>
  <cp:revision>5</cp:revision>
  <dcterms:created xsi:type="dcterms:W3CDTF">2017-12-14T03:51:00Z</dcterms:created>
  <dcterms:modified xsi:type="dcterms:W3CDTF">2018-01-10T14:01:00Z</dcterms:modified>
</cp:coreProperties>
</file>