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185"/>
        <w:tblW w:w="15701" w:type="dxa"/>
        <w:tblLook w:val="0000"/>
      </w:tblPr>
      <w:tblGrid>
        <w:gridCol w:w="5120"/>
        <w:gridCol w:w="5265"/>
        <w:gridCol w:w="5316"/>
      </w:tblGrid>
      <w:tr w:rsidR="000403FD" w:rsidRPr="00F472B5" w:rsidTr="00F472B5">
        <w:trPr>
          <w:trHeight w:val="273"/>
        </w:trPr>
        <w:tc>
          <w:tcPr>
            <w:tcW w:w="15701" w:type="dxa"/>
            <w:gridSpan w:val="3"/>
          </w:tcPr>
          <w:p w:rsidR="00F472B5" w:rsidRPr="00F472B5" w:rsidRDefault="00F472B5" w:rsidP="00F472B5">
            <w:pPr>
              <w:pStyle w:val="rvps2"/>
              <w:shd w:val="clear" w:color="auto" w:fill="FFFFFF"/>
              <w:spacing w:before="0" w:beforeAutospacing="0" w:after="0" w:afterAutospacing="0"/>
              <w:ind w:firstLine="448"/>
              <w:jc w:val="center"/>
              <w:rPr>
                <w:rFonts w:ascii="Bookman Old Style" w:hAnsi="Bookman Old Style"/>
                <w:b/>
                <w:sz w:val="18"/>
                <w:szCs w:val="18"/>
              </w:rPr>
            </w:pPr>
            <w:r w:rsidRPr="00F472B5">
              <w:rPr>
                <w:rFonts w:ascii="Bookman Old Style" w:hAnsi="Bookman Old Style"/>
                <w:b/>
                <w:sz w:val="18"/>
                <w:szCs w:val="18"/>
              </w:rPr>
              <w:t>ЗАГАЛЬНІ ПОЛОЖЕННЯ:</w:t>
            </w:r>
          </w:p>
          <w:p w:rsidR="000403FD" w:rsidRPr="00F472B5" w:rsidRDefault="005563EB" w:rsidP="00F472B5">
            <w:pPr>
              <w:spacing w:after="160" w:line="259" w:lineRule="auto"/>
              <w:ind w:firstLine="142"/>
              <w:jc w:val="center"/>
              <w:rPr>
                <w:rFonts w:ascii="Bookman Old Style" w:hAnsi="Bookman Old Style"/>
                <w:b/>
                <w:sz w:val="18"/>
                <w:szCs w:val="18"/>
              </w:rPr>
            </w:pPr>
            <w:r w:rsidRPr="00F472B5">
              <w:rPr>
                <w:rFonts w:ascii="Bookman Old Style" w:hAnsi="Bookman Old Style"/>
                <w:b/>
                <w:sz w:val="18"/>
                <w:szCs w:val="18"/>
              </w:rPr>
              <w:t>РОЗМЕЖУВАННЯ ЮРИСДИКЦІЙ</w:t>
            </w:r>
          </w:p>
        </w:tc>
      </w:tr>
      <w:tr w:rsidR="000403FD" w:rsidRPr="00F472B5" w:rsidTr="00F472B5">
        <w:tblPrEx>
          <w:tblLook w:val="04A0"/>
        </w:tblPrEx>
        <w:trPr>
          <w:trHeight w:val="268"/>
        </w:trPr>
        <w:tc>
          <w:tcPr>
            <w:tcW w:w="5120" w:type="dxa"/>
          </w:tcPr>
          <w:p w:rsidR="000403FD" w:rsidRPr="00F472B5" w:rsidRDefault="00C047B5" w:rsidP="00F472B5">
            <w:pPr>
              <w:spacing w:after="160" w:line="259" w:lineRule="auto"/>
              <w:ind w:firstLine="142"/>
              <w:jc w:val="center"/>
              <w:rPr>
                <w:rFonts w:ascii="Bookman Old Style" w:hAnsi="Bookman Old Style"/>
                <w:b/>
                <w:sz w:val="18"/>
                <w:szCs w:val="18"/>
              </w:rPr>
            </w:pPr>
            <w:r w:rsidRPr="00F472B5">
              <w:rPr>
                <w:rFonts w:ascii="Bookman Old Style" w:hAnsi="Bookman Old Style"/>
                <w:b/>
                <w:sz w:val="18"/>
                <w:szCs w:val="18"/>
              </w:rPr>
              <w:t>ГПК</w:t>
            </w:r>
          </w:p>
        </w:tc>
        <w:tc>
          <w:tcPr>
            <w:tcW w:w="5265" w:type="dxa"/>
          </w:tcPr>
          <w:p w:rsidR="000403FD" w:rsidRPr="00F472B5" w:rsidRDefault="00C047B5" w:rsidP="00F472B5">
            <w:pPr>
              <w:spacing w:after="160" w:line="259" w:lineRule="auto"/>
              <w:ind w:firstLine="142"/>
              <w:jc w:val="center"/>
              <w:rPr>
                <w:rFonts w:ascii="Bookman Old Style" w:hAnsi="Bookman Old Style"/>
                <w:b/>
                <w:sz w:val="18"/>
                <w:szCs w:val="18"/>
              </w:rPr>
            </w:pPr>
            <w:r w:rsidRPr="00F472B5">
              <w:rPr>
                <w:rFonts w:ascii="Bookman Old Style" w:hAnsi="Bookman Old Style"/>
                <w:b/>
                <w:sz w:val="18"/>
                <w:szCs w:val="18"/>
              </w:rPr>
              <w:t>ЦПК</w:t>
            </w:r>
          </w:p>
        </w:tc>
        <w:tc>
          <w:tcPr>
            <w:tcW w:w="5316" w:type="dxa"/>
          </w:tcPr>
          <w:p w:rsidR="000403FD" w:rsidRPr="00F472B5" w:rsidRDefault="00C047B5" w:rsidP="00F472B5">
            <w:pPr>
              <w:spacing w:after="160" w:line="259" w:lineRule="auto"/>
              <w:ind w:firstLine="142"/>
              <w:jc w:val="center"/>
              <w:rPr>
                <w:rFonts w:ascii="Bookman Old Style" w:hAnsi="Bookman Old Style"/>
                <w:b/>
                <w:sz w:val="18"/>
                <w:szCs w:val="18"/>
              </w:rPr>
            </w:pPr>
            <w:r w:rsidRPr="00F472B5">
              <w:rPr>
                <w:rFonts w:ascii="Bookman Old Style" w:hAnsi="Bookman Old Style"/>
                <w:b/>
                <w:sz w:val="18"/>
                <w:szCs w:val="18"/>
              </w:rPr>
              <w:t>КАСУ</w:t>
            </w:r>
          </w:p>
        </w:tc>
      </w:tr>
      <w:tr w:rsidR="005563EB" w:rsidRPr="00F472B5" w:rsidTr="00F472B5">
        <w:tblPrEx>
          <w:tblLook w:val="04A0"/>
        </w:tblPrEx>
        <w:trPr>
          <w:trHeight w:val="3547"/>
        </w:trPr>
        <w:tc>
          <w:tcPr>
            <w:tcW w:w="5120" w:type="dxa"/>
            <w:vMerge w:val="restart"/>
          </w:tcPr>
          <w:p w:rsidR="005563EB" w:rsidRPr="00F472B5" w:rsidRDefault="00C047B5" w:rsidP="00F472B5">
            <w:pPr>
              <w:pStyle w:val="rvps2"/>
              <w:shd w:val="clear" w:color="auto" w:fill="FFFFFF"/>
              <w:spacing w:before="0" w:beforeAutospacing="0" w:after="0" w:afterAutospacing="0" w:line="276" w:lineRule="auto"/>
              <w:ind w:firstLine="142"/>
              <w:jc w:val="center"/>
              <w:rPr>
                <w:rFonts w:ascii="Bookman Old Style" w:hAnsi="Bookman Old Style"/>
                <w:b/>
                <w:i/>
                <w:sz w:val="18"/>
                <w:szCs w:val="18"/>
              </w:rPr>
            </w:pPr>
            <w:bookmarkStart w:id="0" w:name="n156"/>
            <w:bookmarkStart w:id="1" w:name="n157"/>
            <w:bookmarkEnd w:id="0"/>
            <w:bookmarkEnd w:id="1"/>
            <w:r w:rsidRPr="00F472B5">
              <w:rPr>
                <w:rFonts w:ascii="Bookman Old Style" w:hAnsi="Bookman Old Style"/>
                <w:b/>
                <w:i/>
                <w:sz w:val="18"/>
                <w:szCs w:val="18"/>
              </w:rPr>
              <w:t>Господарські суди розглядають справи у спорах, що виникають у зв’язку із здійсненням господарської діяльності, зокрема:</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2" w:name="n158"/>
            <w:bookmarkEnd w:id="2"/>
            <w:r w:rsidRPr="00F472B5">
              <w:rPr>
                <w:rFonts w:ascii="Bookman Old Style" w:hAnsi="Bookman Old Style"/>
                <w:sz w:val="18"/>
                <w:szCs w:val="18"/>
              </w:rPr>
              <w:t>1) що виникають при укладанні, зміні, розірванні і виконанні правочинів у господарській діяльності</w:t>
            </w:r>
            <w:bookmarkStart w:id="3" w:name="n159"/>
            <w:bookmarkEnd w:id="3"/>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r w:rsidRPr="00F472B5">
              <w:rPr>
                <w:rFonts w:ascii="Bookman Old Style" w:hAnsi="Bookman Old Style"/>
                <w:sz w:val="18"/>
                <w:szCs w:val="18"/>
              </w:rPr>
              <w:t>2) щодо приватизації майна, крім спорів про приватизацію державного житлового фонду;</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4" w:name="n160"/>
            <w:bookmarkEnd w:id="4"/>
            <w:r w:rsidRPr="00F472B5">
              <w:rPr>
                <w:rFonts w:ascii="Bookman Old Style" w:hAnsi="Bookman Old Style"/>
                <w:sz w:val="18"/>
                <w:szCs w:val="18"/>
              </w:rPr>
              <w:t>3)  що виникають з корпоративних відносин</w:t>
            </w:r>
            <w:bookmarkStart w:id="5" w:name="n161"/>
            <w:bookmarkEnd w:id="5"/>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r w:rsidRPr="00F472B5">
              <w:rPr>
                <w:rFonts w:ascii="Bookman Old Style" w:hAnsi="Bookman Old Style"/>
                <w:sz w:val="18"/>
                <w:szCs w:val="18"/>
              </w:rPr>
              <w:t>4)  що виникають з правочинів щодо акцій, часток, паїв, інших корпоративних прав в юридичній особі, крім правочинів у сімейних та спадкових правовідносинах;</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6" w:name="n162"/>
            <w:bookmarkEnd w:id="6"/>
            <w:r w:rsidRPr="00F472B5">
              <w:rPr>
                <w:rFonts w:ascii="Bookman Old Style" w:hAnsi="Bookman Old Style"/>
                <w:sz w:val="18"/>
                <w:szCs w:val="18"/>
              </w:rPr>
              <w:t>5) щодо цінних паперів</w:t>
            </w:r>
            <w:bookmarkStart w:id="7" w:name="n163"/>
            <w:bookmarkEnd w:id="7"/>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r w:rsidRPr="00F472B5">
              <w:rPr>
                <w:rFonts w:ascii="Bookman Old Style" w:hAnsi="Bookman Old Style"/>
                <w:sz w:val="18"/>
                <w:szCs w:val="18"/>
              </w:rPr>
              <w:t>6) щодо права власності чи іншого речового права на майно (рухоме та нерухоме, в тому числі землю), реєстрації або обліку прав на майно, яке (права на яке) є предметом спору, визнання недійсними актів, що порушують такі права</w:t>
            </w:r>
            <w:bookmarkStart w:id="8" w:name="n164"/>
            <w:bookmarkEnd w:id="8"/>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r w:rsidRPr="00F472B5">
              <w:rPr>
                <w:rFonts w:ascii="Bookman Old Style" w:hAnsi="Bookman Old Style"/>
                <w:sz w:val="18"/>
                <w:szCs w:val="18"/>
              </w:rPr>
              <w:t>7) 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w:t>
            </w:r>
            <w:bookmarkStart w:id="9" w:name="n165"/>
            <w:bookmarkEnd w:id="9"/>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r w:rsidRPr="00F472B5">
              <w:rPr>
                <w:rFonts w:ascii="Bookman Old Style" w:hAnsi="Bookman Old Style"/>
                <w:sz w:val="18"/>
                <w:szCs w:val="18"/>
              </w:rPr>
              <w:t>8) справи про банкрутство та справи у спорах з майновими вимогами до боржника</w:t>
            </w:r>
            <w:bookmarkStart w:id="10" w:name="n166"/>
            <w:bookmarkEnd w:id="10"/>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r w:rsidRPr="00F472B5">
              <w:rPr>
                <w:rFonts w:ascii="Bookman Old Style" w:hAnsi="Bookman Old Style"/>
                <w:sz w:val="18"/>
                <w:szCs w:val="18"/>
              </w:rPr>
              <w:t>9) щодо оскарження актів (рішень) суб’єктів господарювання та їх органів, посадових та службових осіб</w:t>
            </w:r>
            <w:bookmarkStart w:id="11" w:name="n168"/>
            <w:bookmarkEnd w:id="11"/>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r w:rsidRPr="00F472B5">
              <w:rPr>
                <w:rFonts w:ascii="Bookman Old Style" w:hAnsi="Bookman Old Style"/>
                <w:sz w:val="18"/>
                <w:szCs w:val="18"/>
              </w:rPr>
              <w:t>10) про оскарження рішень третейських судів та про видачу наказу на примусове виконання рішень третейських судів</w:t>
            </w:r>
            <w:bookmarkStart w:id="12" w:name="n169"/>
            <w:bookmarkEnd w:id="12"/>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r w:rsidRPr="00F472B5">
              <w:rPr>
                <w:rFonts w:ascii="Bookman Old Style" w:hAnsi="Bookman Old Style"/>
                <w:sz w:val="18"/>
                <w:szCs w:val="18"/>
              </w:rPr>
              <w:t xml:space="preserve">12) у спорах між юридичною особою та посадовою особою про відшкодування збитків, заподіяних юридичній особі </w:t>
            </w:r>
            <w:proofErr w:type="spellStart"/>
            <w:r w:rsidRPr="00F472B5">
              <w:rPr>
                <w:rFonts w:ascii="Bookman Old Style" w:hAnsi="Bookman Old Style"/>
                <w:sz w:val="18"/>
                <w:szCs w:val="18"/>
              </w:rPr>
              <w:t>діямитакої</w:t>
            </w:r>
            <w:proofErr w:type="spellEnd"/>
            <w:r w:rsidRPr="00F472B5">
              <w:rPr>
                <w:rFonts w:ascii="Bookman Old Style" w:hAnsi="Bookman Old Style"/>
                <w:sz w:val="18"/>
                <w:szCs w:val="18"/>
              </w:rPr>
              <w:t xml:space="preserve"> посадової особи</w:t>
            </w:r>
            <w:bookmarkStart w:id="13" w:name="n170"/>
            <w:bookmarkEnd w:id="13"/>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r w:rsidRPr="00F472B5">
              <w:rPr>
                <w:rFonts w:ascii="Bookman Old Style" w:hAnsi="Bookman Old Style"/>
                <w:sz w:val="18"/>
                <w:szCs w:val="18"/>
              </w:rPr>
              <w:t>13) щодо реєстрації майна та майнових прав, інших реєстраційних дій, визнання недійсними актів, що порушують права на майно (майнові права), якщо такі вимоги є похідними від спору щодо такого майна або майнових прав чи спору, що виник з корпоративних відносин</w:t>
            </w:r>
            <w:bookmarkStart w:id="14" w:name="n171"/>
            <w:bookmarkEnd w:id="14"/>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r w:rsidRPr="00F472B5">
              <w:rPr>
                <w:rFonts w:ascii="Bookman Old Style" w:hAnsi="Bookman Old Style"/>
                <w:sz w:val="18"/>
                <w:szCs w:val="18"/>
              </w:rPr>
              <w:t>14)у спорах про захист ділової репутації</w:t>
            </w:r>
            <w:bookmarkStart w:id="15" w:name="n172"/>
            <w:bookmarkEnd w:id="15"/>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16" w:name="n173"/>
            <w:bookmarkEnd w:id="16"/>
            <w:r w:rsidRPr="00F472B5">
              <w:rPr>
                <w:rFonts w:ascii="Bookman Old Style" w:hAnsi="Bookman Old Style"/>
                <w:sz w:val="18"/>
                <w:szCs w:val="18"/>
              </w:rPr>
              <w:t>15) за заявами про видачу судового наказу</w:t>
            </w:r>
            <w:bookmarkStart w:id="17" w:name="n174"/>
            <w:bookmarkEnd w:id="17"/>
            <w:r w:rsidRPr="00F472B5">
              <w:rPr>
                <w:rFonts w:ascii="Bookman Old Style" w:hAnsi="Bookman Old Style"/>
                <w:sz w:val="18"/>
                <w:szCs w:val="18"/>
              </w:rPr>
              <w:t>;</w:t>
            </w:r>
            <w:bookmarkStart w:id="18" w:name="n181"/>
            <w:bookmarkStart w:id="19" w:name="n194"/>
            <w:bookmarkEnd w:id="18"/>
            <w:bookmarkEnd w:id="19"/>
          </w:p>
        </w:tc>
        <w:tc>
          <w:tcPr>
            <w:tcW w:w="5265" w:type="dxa"/>
          </w:tcPr>
          <w:p w:rsidR="005563EB" w:rsidRPr="00F472B5" w:rsidRDefault="00C047B5" w:rsidP="00F472B5">
            <w:pPr>
              <w:pStyle w:val="rvps2"/>
              <w:shd w:val="clear" w:color="auto" w:fill="FFFFFF"/>
              <w:spacing w:before="0" w:beforeAutospacing="0" w:after="0" w:afterAutospacing="0"/>
              <w:ind w:firstLine="142"/>
              <w:jc w:val="center"/>
              <w:rPr>
                <w:rFonts w:ascii="Bookman Old Style" w:hAnsi="Bookman Old Style"/>
                <w:b/>
                <w:i/>
                <w:sz w:val="18"/>
                <w:szCs w:val="18"/>
              </w:rPr>
            </w:pPr>
            <w:bookmarkStart w:id="20" w:name="n3107"/>
            <w:bookmarkEnd w:id="20"/>
            <w:r w:rsidRPr="00F472B5">
              <w:rPr>
                <w:rFonts w:ascii="Bookman Old Style" w:hAnsi="Bookman Old Style"/>
                <w:b/>
                <w:i/>
                <w:sz w:val="18"/>
                <w:szCs w:val="18"/>
              </w:rPr>
              <w:t>Справи, що відносяться до юрисдикції загальних судів</w:t>
            </w:r>
            <w:bookmarkStart w:id="21" w:name="n3109"/>
            <w:bookmarkEnd w:id="21"/>
          </w:p>
          <w:p w:rsidR="005563EB" w:rsidRPr="00F472B5" w:rsidRDefault="00C047B5" w:rsidP="00F472B5">
            <w:pPr>
              <w:pStyle w:val="rvps2"/>
              <w:numPr>
                <w:ilvl w:val="0"/>
                <w:numId w:val="8"/>
              </w:numPr>
              <w:shd w:val="clear" w:color="auto" w:fill="FFFFFF"/>
              <w:spacing w:before="0" w:beforeAutospacing="0" w:after="0" w:afterAutospacing="0"/>
              <w:ind w:left="0" w:firstLine="142"/>
              <w:jc w:val="both"/>
              <w:rPr>
                <w:rFonts w:ascii="Bookman Old Style" w:hAnsi="Bookman Old Style"/>
                <w:sz w:val="18"/>
                <w:szCs w:val="18"/>
              </w:rPr>
            </w:pPr>
            <w:r w:rsidRPr="00F472B5">
              <w:rPr>
                <w:rFonts w:ascii="Bookman Old Style" w:hAnsi="Bookman Old Style"/>
                <w:sz w:val="18"/>
                <w:szCs w:val="18"/>
              </w:rPr>
              <w:t>що виникають з цивільних правовідносин;</w:t>
            </w:r>
          </w:p>
          <w:p w:rsidR="005563EB" w:rsidRPr="00F472B5" w:rsidRDefault="00C047B5" w:rsidP="00F472B5">
            <w:pPr>
              <w:pStyle w:val="rvps2"/>
              <w:numPr>
                <w:ilvl w:val="0"/>
                <w:numId w:val="8"/>
              </w:numPr>
              <w:shd w:val="clear" w:color="auto" w:fill="FFFFFF"/>
              <w:spacing w:before="0" w:beforeAutospacing="0" w:after="0" w:afterAutospacing="0"/>
              <w:ind w:left="0" w:firstLine="142"/>
              <w:jc w:val="both"/>
              <w:rPr>
                <w:rFonts w:ascii="Bookman Old Style" w:hAnsi="Bookman Old Style"/>
                <w:sz w:val="18"/>
                <w:szCs w:val="18"/>
              </w:rPr>
            </w:pPr>
            <w:r w:rsidRPr="00F472B5">
              <w:rPr>
                <w:rFonts w:ascii="Bookman Old Style" w:hAnsi="Bookman Old Style"/>
                <w:sz w:val="18"/>
                <w:szCs w:val="18"/>
              </w:rPr>
              <w:t>що виникають із земельних правовідносин;</w:t>
            </w:r>
          </w:p>
          <w:p w:rsidR="005563EB" w:rsidRPr="00F472B5" w:rsidRDefault="00C047B5" w:rsidP="00F472B5">
            <w:pPr>
              <w:pStyle w:val="rvps2"/>
              <w:numPr>
                <w:ilvl w:val="0"/>
                <w:numId w:val="8"/>
              </w:numPr>
              <w:shd w:val="clear" w:color="auto" w:fill="FFFFFF"/>
              <w:spacing w:before="0" w:beforeAutospacing="0" w:after="0" w:afterAutospacing="0"/>
              <w:ind w:left="0" w:firstLine="142"/>
              <w:jc w:val="both"/>
              <w:rPr>
                <w:rFonts w:ascii="Bookman Old Style" w:hAnsi="Bookman Old Style"/>
                <w:sz w:val="18"/>
                <w:szCs w:val="18"/>
              </w:rPr>
            </w:pPr>
            <w:r w:rsidRPr="00F472B5">
              <w:rPr>
                <w:rFonts w:ascii="Bookman Old Style" w:hAnsi="Bookman Old Style"/>
                <w:sz w:val="18"/>
                <w:szCs w:val="18"/>
              </w:rPr>
              <w:t>що виникають  із трудових правовідносин;</w:t>
            </w:r>
          </w:p>
          <w:p w:rsidR="005563EB" w:rsidRPr="00F472B5" w:rsidRDefault="00C047B5" w:rsidP="00F472B5">
            <w:pPr>
              <w:pStyle w:val="rvps2"/>
              <w:numPr>
                <w:ilvl w:val="0"/>
                <w:numId w:val="8"/>
              </w:numPr>
              <w:shd w:val="clear" w:color="auto" w:fill="FFFFFF"/>
              <w:spacing w:before="0" w:beforeAutospacing="0" w:after="0" w:afterAutospacing="0"/>
              <w:ind w:left="0" w:firstLine="142"/>
              <w:jc w:val="both"/>
              <w:rPr>
                <w:rFonts w:ascii="Bookman Old Style" w:hAnsi="Bookman Old Style"/>
                <w:sz w:val="18"/>
                <w:szCs w:val="18"/>
              </w:rPr>
            </w:pPr>
            <w:r w:rsidRPr="00F472B5">
              <w:rPr>
                <w:rFonts w:ascii="Bookman Old Style" w:hAnsi="Bookman Old Style"/>
                <w:sz w:val="18"/>
                <w:szCs w:val="18"/>
              </w:rPr>
              <w:t xml:space="preserve">що виникають із сімейних правовідносин; </w:t>
            </w:r>
          </w:p>
          <w:p w:rsidR="005563EB" w:rsidRPr="00F472B5" w:rsidRDefault="00C047B5" w:rsidP="00F472B5">
            <w:pPr>
              <w:pStyle w:val="rvps2"/>
              <w:numPr>
                <w:ilvl w:val="0"/>
                <w:numId w:val="8"/>
              </w:numPr>
              <w:shd w:val="clear" w:color="auto" w:fill="FFFFFF"/>
              <w:spacing w:before="0" w:beforeAutospacing="0" w:after="0" w:afterAutospacing="0"/>
              <w:ind w:left="0" w:firstLine="142"/>
              <w:jc w:val="both"/>
              <w:rPr>
                <w:rFonts w:ascii="Bookman Old Style" w:hAnsi="Bookman Old Style"/>
                <w:sz w:val="18"/>
                <w:szCs w:val="18"/>
              </w:rPr>
            </w:pPr>
            <w:r w:rsidRPr="00F472B5">
              <w:rPr>
                <w:rFonts w:ascii="Bookman Old Style" w:hAnsi="Bookman Old Style"/>
                <w:sz w:val="18"/>
                <w:szCs w:val="18"/>
              </w:rPr>
              <w:t>що виникають із житлових правовідносин</w:t>
            </w:r>
          </w:p>
          <w:p w:rsidR="005563EB" w:rsidRPr="00F472B5" w:rsidRDefault="00C047B5" w:rsidP="00F472B5">
            <w:pPr>
              <w:pStyle w:val="rvps2"/>
              <w:numPr>
                <w:ilvl w:val="0"/>
                <w:numId w:val="8"/>
              </w:numPr>
              <w:shd w:val="clear" w:color="auto" w:fill="FFFFFF"/>
              <w:spacing w:before="0" w:beforeAutospacing="0" w:after="0" w:afterAutospacing="0"/>
              <w:ind w:left="0" w:firstLine="142"/>
              <w:jc w:val="both"/>
              <w:rPr>
                <w:rFonts w:ascii="Bookman Old Style" w:hAnsi="Bookman Old Style"/>
                <w:sz w:val="18"/>
                <w:szCs w:val="18"/>
              </w:rPr>
            </w:pPr>
            <w:r w:rsidRPr="00F472B5">
              <w:rPr>
                <w:rFonts w:ascii="Bookman Old Style" w:hAnsi="Bookman Old Style"/>
                <w:sz w:val="18"/>
                <w:szCs w:val="18"/>
              </w:rPr>
              <w:t>що виникають з інших правовідносин, крім справ, розгляд яких здійснюється в порядку іншого судочинства.</w:t>
            </w:r>
          </w:p>
          <w:p w:rsidR="005563EB" w:rsidRPr="00F472B5" w:rsidRDefault="00C047B5" w:rsidP="00F472B5">
            <w:pPr>
              <w:pStyle w:val="rvps2"/>
              <w:numPr>
                <w:ilvl w:val="0"/>
                <w:numId w:val="8"/>
              </w:numPr>
              <w:shd w:val="clear" w:color="auto" w:fill="FFFFFF"/>
              <w:spacing w:before="0" w:beforeAutospacing="0" w:after="0" w:afterAutospacing="0"/>
              <w:ind w:left="0" w:firstLine="142"/>
              <w:jc w:val="both"/>
              <w:rPr>
                <w:rFonts w:ascii="Bookman Old Style" w:hAnsi="Bookman Old Style"/>
                <w:sz w:val="18"/>
                <w:szCs w:val="18"/>
              </w:rPr>
            </w:pPr>
            <w:r w:rsidRPr="00F472B5">
              <w:rPr>
                <w:rFonts w:ascii="Bookman Old Style" w:hAnsi="Bookman Old Style"/>
                <w:sz w:val="18"/>
                <w:szCs w:val="18"/>
              </w:rPr>
              <w:t>вимоги щодо реєстрації майна та майнових прав, інших реєстраційних дій, якщо такі вимоги є похідними від спору щодо такого майна або майнових прав, якщо цей спір підлягає розгляду в місцевому загальному суді і переданий на його розгляд з такими вимогами.</w:t>
            </w:r>
            <w:bookmarkStart w:id="22" w:name="n3111"/>
            <w:bookmarkStart w:id="23" w:name="n3125"/>
            <w:bookmarkStart w:id="24" w:name="n3131"/>
            <w:bookmarkStart w:id="25" w:name="n3133"/>
            <w:bookmarkStart w:id="26" w:name="n3145"/>
            <w:bookmarkEnd w:id="22"/>
            <w:bookmarkEnd w:id="23"/>
            <w:bookmarkEnd w:id="24"/>
            <w:bookmarkEnd w:id="25"/>
            <w:bookmarkEnd w:id="26"/>
          </w:p>
        </w:tc>
        <w:tc>
          <w:tcPr>
            <w:tcW w:w="5316" w:type="dxa"/>
            <w:vMerge w:val="restart"/>
          </w:tcPr>
          <w:p w:rsidR="005563EB" w:rsidRPr="00F472B5" w:rsidRDefault="00C047B5" w:rsidP="00F472B5">
            <w:pPr>
              <w:pStyle w:val="rvps2"/>
              <w:shd w:val="clear" w:color="auto" w:fill="FFFFFF"/>
              <w:spacing w:before="0" w:beforeAutospacing="0" w:after="0" w:afterAutospacing="0" w:line="276" w:lineRule="auto"/>
              <w:ind w:firstLine="142"/>
              <w:jc w:val="center"/>
              <w:rPr>
                <w:rFonts w:ascii="Bookman Old Style" w:hAnsi="Bookman Old Style"/>
                <w:b/>
                <w:i/>
                <w:sz w:val="18"/>
                <w:szCs w:val="18"/>
              </w:rPr>
            </w:pPr>
            <w:bookmarkStart w:id="27" w:name="n6829"/>
            <w:bookmarkEnd w:id="27"/>
            <w:r w:rsidRPr="00F472B5">
              <w:rPr>
                <w:rFonts w:ascii="Bookman Old Style" w:hAnsi="Bookman Old Style"/>
                <w:b/>
                <w:i/>
                <w:sz w:val="18"/>
                <w:szCs w:val="18"/>
              </w:rPr>
              <w:t>Справи, на які поширюється юрисдикція адміністративних судів</w:t>
            </w:r>
            <w:bookmarkStart w:id="28" w:name="n6831"/>
            <w:bookmarkEnd w:id="28"/>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29" w:name="n6832"/>
            <w:bookmarkEnd w:id="29"/>
            <w:r w:rsidRPr="00F472B5">
              <w:rPr>
                <w:rFonts w:ascii="Bookman Old Style" w:hAnsi="Bookman Old Style"/>
                <w:sz w:val="18"/>
                <w:szCs w:val="18"/>
              </w:rPr>
              <w:t>1) щодо оскарження рішень (нормативно-правових актів чи індивідуальних актів), дій чи бездіяльності суб’єкта владних повноважень;</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30" w:name="n6833"/>
            <w:bookmarkEnd w:id="30"/>
            <w:r w:rsidRPr="00F472B5">
              <w:rPr>
                <w:rFonts w:ascii="Bookman Old Style" w:hAnsi="Bookman Old Style"/>
                <w:sz w:val="18"/>
                <w:szCs w:val="18"/>
              </w:rPr>
              <w:t>2) спори з приводу прийняття громадян на публічну службу, її проходження, звільнення з публічної служби;</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31" w:name="n6834"/>
            <w:bookmarkEnd w:id="31"/>
            <w:r w:rsidRPr="00F472B5">
              <w:rPr>
                <w:rFonts w:ascii="Bookman Old Style" w:hAnsi="Bookman Old Style"/>
                <w:sz w:val="18"/>
                <w:szCs w:val="18"/>
              </w:rPr>
              <w:t>3) спори між суб’єктами владних повноважень з приводу реалізації їхньої компетенції у сфері управління, у тому числі делегованих повноважень;</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32" w:name="n6835"/>
            <w:bookmarkEnd w:id="32"/>
            <w:r w:rsidRPr="00F472B5">
              <w:rPr>
                <w:rFonts w:ascii="Bookman Old Style" w:hAnsi="Bookman Old Style"/>
                <w:sz w:val="18"/>
                <w:szCs w:val="18"/>
              </w:rPr>
              <w:t>4)  з приводу укладання, виконання, припинення, скасування чи визнання не чинними адміністративних договорів;</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33" w:name="n6836"/>
            <w:bookmarkEnd w:id="33"/>
            <w:r w:rsidRPr="00F472B5">
              <w:rPr>
                <w:rFonts w:ascii="Bookman Old Style" w:hAnsi="Bookman Old Style"/>
                <w:sz w:val="18"/>
                <w:szCs w:val="18"/>
              </w:rPr>
              <w:t>5) за зверненням суб’єкта владних повноважень у випадках, коли право звернення до суду для вирішення публічно-правового спору надано такому суб’єкту законом;</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34" w:name="n6837"/>
            <w:bookmarkEnd w:id="34"/>
            <w:r w:rsidRPr="00F472B5">
              <w:rPr>
                <w:rFonts w:ascii="Bookman Old Style" w:hAnsi="Bookman Old Style"/>
                <w:sz w:val="18"/>
                <w:szCs w:val="18"/>
              </w:rPr>
              <w:t>6) щодо правовідносин, пов’язаних з виборчим процесом чи процесом референдуму;</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35" w:name="n6838"/>
            <w:bookmarkEnd w:id="35"/>
            <w:r w:rsidRPr="00F472B5">
              <w:rPr>
                <w:rFonts w:ascii="Bookman Old Style" w:hAnsi="Bookman Old Style"/>
                <w:sz w:val="18"/>
                <w:szCs w:val="18"/>
              </w:rPr>
              <w:t>7) щодо оскарження  рішень, дій чи бездіяльності у частині доступу до публічної інформації;</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36" w:name="n6839"/>
            <w:bookmarkEnd w:id="36"/>
            <w:r w:rsidRPr="00F472B5">
              <w:rPr>
                <w:rFonts w:ascii="Bookman Old Style" w:hAnsi="Bookman Old Style"/>
                <w:sz w:val="18"/>
                <w:szCs w:val="18"/>
              </w:rPr>
              <w:t>8)  щодо вилучення або примусового відчуження майна для суспільних потреб чи з мотивів суспільної необхідності;</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37" w:name="n6840"/>
            <w:bookmarkEnd w:id="37"/>
            <w:r w:rsidRPr="00F472B5">
              <w:rPr>
                <w:rFonts w:ascii="Bookman Old Style" w:hAnsi="Bookman Old Style"/>
                <w:sz w:val="18"/>
                <w:szCs w:val="18"/>
              </w:rPr>
              <w:t>9) щодо оскарження рішень атестаційних, конкурсних, медико-соціальних експертних комісій та інших подібних органів, рішення яких є обов’язковими;</w:t>
            </w:r>
          </w:p>
          <w:p w:rsidR="005563EB"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38" w:name="n6841"/>
            <w:bookmarkEnd w:id="38"/>
            <w:r w:rsidRPr="00F472B5">
              <w:rPr>
                <w:rFonts w:ascii="Bookman Old Style" w:hAnsi="Bookman Old Style"/>
                <w:sz w:val="18"/>
                <w:szCs w:val="18"/>
              </w:rPr>
              <w:t>10) щодо формування складу державних органів, органів місцевого самоврядування, обрання, призначення, звільнення їх посадових осіб;</w:t>
            </w:r>
          </w:p>
          <w:p w:rsidR="005563EB" w:rsidRPr="00F472B5" w:rsidRDefault="00F472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39" w:name="n6842"/>
            <w:bookmarkEnd w:id="39"/>
            <w:r w:rsidRPr="00F472B5">
              <w:rPr>
                <w:rFonts w:ascii="Bookman Old Style" w:hAnsi="Bookman Old Style"/>
                <w:sz w:val="18"/>
                <w:szCs w:val="18"/>
              </w:rPr>
              <w:t>11)  що виникли на підставі</w:t>
            </w:r>
            <w:r w:rsidRPr="00F472B5">
              <w:rPr>
                <w:rFonts w:ascii="Bookman Old Style" w:hAnsi="Bookman Old Style"/>
                <w:sz w:val="18"/>
                <w:szCs w:val="18"/>
                <w:u w:val="single"/>
              </w:rPr>
              <w:t xml:space="preserve"> </w:t>
            </w:r>
            <w:hyperlink r:id="rId7" w:tgtFrame="_blank" w:history="1">
              <w:r w:rsidR="00C047B5" w:rsidRPr="00F472B5">
                <w:rPr>
                  <w:rStyle w:val="a4"/>
                  <w:rFonts w:ascii="Bookman Old Style" w:hAnsi="Bookman Old Style"/>
                  <w:color w:val="auto"/>
                  <w:sz w:val="18"/>
                  <w:szCs w:val="18"/>
                </w:rPr>
                <w:t>ЗУ</w:t>
              </w:r>
            </w:hyperlink>
            <w:r w:rsidR="00C047B5" w:rsidRPr="00F472B5">
              <w:rPr>
                <w:rFonts w:ascii="Bookman Old Style" w:hAnsi="Bookman Old Style"/>
                <w:sz w:val="18"/>
                <w:szCs w:val="18"/>
              </w:rPr>
              <w:t> "Про особливості здійснення закупівель товарів, робіт і послуг для гарантованого забезпечення потреб оборони", за винятком спорів, пов’язаних із укладенням договору з переможцем переговорної процедури закупівлі, а також зміною, розірванням і виконанням договорів про закупівлю;</w:t>
            </w:r>
          </w:p>
          <w:p w:rsidR="00000000" w:rsidRPr="00F472B5" w:rsidRDefault="00C047B5" w:rsidP="00F472B5">
            <w:pPr>
              <w:pStyle w:val="rvps2"/>
              <w:shd w:val="clear" w:color="auto" w:fill="FFFFFF"/>
              <w:spacing w:before="0" w:beforeAutospacing="0" w:after="0" w:afterAutospacing="0" w:line="276" w:lineRule="auto"/>
              <w:ind w:firstLine="142"/>
              <w:jc w:val="both"/>
              <w:rPr>
                <w:rFonts w:ascii="Bookman Old Style" w:hAnsi="Bookman Old Style"/>
                <w:sz w:val="18"/>
                <w:szCs w:val="18"/>
              </w:rPr>
            </w:pPr>
            <w:bookmarkStart w:id="40" w:name="n6843"/>
            <w:bookmarkEnd w:id="40"/>
            <w:r w:rsidRPr="00F472B5">
              <w:rPr>
                <w:rFonts w:ascii="Bookman Old Style" w:hAnsi="Bookman Old Style"/>
                <w:sz w:val="18"/>
                <w:szCs w:val="18"/>
              </w:rPr>
              <w:t xml:space="preserve">12) про правопорушення, </w:t>
            </w:r>
            <w:r w:rsidRPr="00F472B5">
              <w:rPr>
                <w:rFonts w:ascii="Bookman Old Style" w:hAnsi="Bookman Old Style"/>
                <w:sz w:val="18"/>
                <w:szCs w:val="18"/>
              </w:rPr>
              <w:t>ЗУ</w:t>
            </w:r>
            <w:r w:rsidRPr="00F472B5">
              <w:rPr>
                <w:rFonts w:ascii="Bookman Old Style" w:hAnsi="Bookman Old Style"/>
                <w:sz w:val="18"/>
                <w:szCs w:val="18"/>
              </w:rPr>
              <w:t> "Про відповідальність перевізників під час здійснення міжнародних пасажирських перевезень".</w:t>
            </w:r>
            <w:bookmarkStart w:id="41" w:name="n6844"/>
            <w:bookmarkStart w:id="42" w:name="n6867"/>
            <w:bookmarkEnd w:id="41"/>
            <w:bookmarkEnd w:id="42"/>
          </w:p>
        </w:tc>
      </w:tr>
      <w:tr w:rsidR="005563EB" w:rsidRPr="00F472B5" w:rsidTr="00F472B5">
        <w:tblPrEx>
          <w:tblLook w:val="04A0"/>
        </w:tblPrEx>
        <w:trPr>
          <w:trHeight w:val="6162"/>
        </w:trPr>
        <w:tc>
          <w:tcPr>
            <w:tcW w:w="5120" w:type="dxa"/>
            <w:vMerge/>
          </w:tcPr>
          <w:p w:rsidR="005563EB" w:rsidRPr="00F472B5" w:rsidRDefault="005563EB" w:rsidP="00F472B5">
            <w:pPr>
              <w:pStyle w:val="rvps2"/>
              <w:shd w:val="clear" w:color="auto" w:fill="FFFFFF"/>
              <w:spacing w:before="0" w:beforeAutospacing="0" w:after="0" w:afterAutospacing="0"/>
              <w:ind w:firstLine="142"/>
              <w:jc w:val="center"/>
              <w:rPr>
                <w:rFonts w:ascii="Bookman Old Style" w:hAnsi="Bookman Old Style"/>
                <w:b/>
                <w:i/>
                <w:sz w:val="18"/>
                <w:szCs w:val="18"/>
              </w:rPr>
            </w:pPr>
          </w:p>
        </w:tc>
        <w:tc>
          <w:tcPr>
            <w:tcW w:w="5265" w:type="dxa"/>
          </w:tcPr>
          <w:p w:rsidR="005563EB" w:rsidRPr="00F472B5" w:rsidRDefault="00C047B5" w:rsidP="00F472B5">
            <w:pPr>
              <w:pStyle w:val="rvps2"/>
              <w:shd w:val="clear" w:color="auto" w:fill="FFFFFF"/>
              <w:spacing w:before="0" w:beforeAutospacing="0" w:after="0" w:afterAutospacing="0"/>
              <w:ind w:firstLine="142"/>
              <w:jc w:val="both"/>
              <w:rPr>
                <w:rFonts w:ascii="Bookman Old Style" w:hAnsi="Bookman Old Style"/>
                <w:b/>
                <w:i/>
                <w:sz w:val="18"/>
                <w:szCs w:val="18"/>
              </w:rPr>
            </w:pPr>
            <w:r w:rsidRPr="00F472B5">
              <w:rPr>
                <w:rFonts w:ascii="Bookman Old Style" w:hAnsi="Bookman Old Style"/>
                <w:sz w:val="18"/>
                <w:szCs w:val="18"/>
              </w:rPr>
              <w:t xml:space="preserve"> </w:t>
            </w:r>
            <w:r w:rsidRPr="00F472B5">
              <w:rPr>
                <w:rFonts w:ascii="Bookman Old Style" w:hAnsi="Bookman Old Style"/>
                <w:b/>
                <w:i/>
                <w:sz w:val="18"/>
                <w:szCs w:val="18"/>
              </w:rPr>
              <w:t>Вищий суд з питань інтелектуальної власності розглядає справи щодо прав інтелектуальної власності, зокрема:</w:t>
            </w:r>
          </w:p>
          <w:p w:rsidR="005563EB" w:rsidRPr="00F472B5" w:rsidRDefault="00C047B5" w:rsidP="00F472B5">
            <w:pPr>
              <w:pStyle w:val="rvps2"/>
              <w:shd w:val="clear" w:color="auto" w:fill="FFFFFF"/>
              <w:spacing w:before="0" w:beforeAutospacing="0" w:after="0" w:afterAutospacing="0"/>
              <w:ind w:firstLine="142"/>
              <w:jc w:val="both"/>
              <w:rPr>
                <w:rFonts w:ascii="Bookman Old Style" w:hAnsi="Bookman Old Style"/>
                <w:sz w:val="18"/>
                <w:szCs w:val="18"/>
              </w:rPr>
            </w:pPr>
            <w:bookmarkStart w:id="43" w:name="n175"/>
            <w:bookmarkEnd w:id="43"/>
            <w:r w:rsidRPr="00F472B5">
              <w:rPr>
                <w:rFonts w:ascii="Bookman Old Style" w:hAnsi="Bookman Old Style"/>
                <w:sz w:val="18"/>
                <w:szCs w:val="18"/>
              </w:rPr>
              <w:t>1) щодо прав на винахід, корисну модель, промисловий зразок, торговельну марку (знак для товарів і послуг), комерційне найменування та інших прав інтелектуальної власності</w:t>
            </w:r>
            <w:bookmarkStart w:id="44" w:name="n176"/>
            <w:bookmarkEnd w:id="44"/>
            <w:r w:rsidRPr="00F472B5">
              <w:rPr>
                <w:rFonts w:ascii="Bookman Old Style" w:hAnsi="Bookman Old Style"/>
                <w:sz w:val="18"/>
                <w:szCs w:val="18"/>
              </w:rPr>
              <w:t>;</w:t>
            </w:r>
          </w:p>
          <w:p w:rsidR="005563EB" w:rsidRPr="00F472B5" w:rsidRDefault="00C047B5" w:rsidP="00F472B5">
            <w:pPr>
              <w:pStyle w:val="rvps2"/>
              <w:shd w:val="clear" w:color="auto" w:fill="FFFFFF"/>
              <w:spacing w:before="0" w:beforeAutospacing="0" w:after="0" w:afterAutospacing="0"/>
              <w:ind w:firstLine="142"/>
              <w:jc w:val="both"/>
              <w:rPr>
                <w:rFonts w:ascii="Bookman Old Style" w:hAnsi="Bookman Old Style"/>
                <w:sz w:val="18"/>
                <w:szCs w:val="18"/>
              </w:rPr>
            </w:pPr>
            <w:r w:rsidRPr="00F472B5">
              <w:rPr>
                <w:rFonts w:ascii="Bookman Old Style" w:hAnsi="Bookman Old Style"/>
                <w:sz w:val="18"/>
                <w:szCs w:val="18"/>
              </w:rPr>
              <w:t>2)  щодо реєстрації, обліку прав інтелектуальної власності, визнання недійсними, продовження дії, дострокового припинення патентів, свідоцтв, інших актів, що посвідчують або на підставі яких виникають такі права, або які порушують такі права чи пов’язані з ними законні інтереси;</w:t>
            </w:r>
          </w:p>
          <w:p w:rsidR="005563EB" w:rsidRPr="00F472B5" w:rsidRDefault="00C047B5" w:rsidP="00F472B5">
            <w:pPr>
              <w:pStyle w:val="rvps2"/>
              <w:shd w:val="clear" w:color="auto" w:fill="FFFFFF"/>
              <w:spacing w:before="0" w:beforeAutospacing="0" w:after="0" w:afterAutospacing="0"/>
              <w:ind w:firstLine="142"/>
              <w:jc w:val="both"/>
              <w:rPr>
                <w:rFonts w:ascii="Bookman Old Style" w:hAnsi="Bookman Old Style"/>
                <w:sz w:val="18"/>
                <w:szCs w:val="18"/>
              </w:rPr>
            </w:pPr>
            <w:bookmarkStart w:id="45" w:name="n177"/>
            <w:bookmarkEnd w:id="45"/>
            <w:r w:rsidRPr="00F472B5">
              <w:rPr>
                <w:rFonts w:ascii="Bookman Old Style" w:hAnsi="Bookman Old Style"/>
                <w:sz w:val="18"/>
                <w:szCs w:val="18"/>
              </w:rPr>
              <w:t>3) про визнання торговельної марки добре відомою;</w:t>
            </w:r>
          </w:p>
          <w:p w:rsidR="005563EB" w:rsidRPr="00F472B5" w:rsidRDefault="00C047B5" w:rsidP="00F472B5">
            <w:pPr>
              <w:pStyle w:val="rvps2"/>
              <w:shd w:val="clear" w:color="auto" w:fill="FFFFFF"/>
              <w:spacing w:before="0" w:beforeAutospacing="0" w:after="0" w:afterAutospacing="0"/>
              <w:ind w:firstLine="142"/>
              <w:jc w:val="both"/>
              <w:rPr>
                <w:rFonts w:ascii="Bookman Old Style" w:hAnsi="Bookman Old Style"/>
                <w:sz w:val="18"/>
                <w:szCs w:val="18"/>
              </w:rPr>
            </w:pPr>
            <w:bookmarkStart w:id="46" w:name="n178"/>
            <w:bookmarkEnd w:id="46"/>
            <w:r w:rsidRPr="00F472B5">
              <w:rPr>
                <w:rFonts w:ascii="Bookman Old Style" w:hAnsi="Bookman Old Style"/>
                <w:sz w:val="18"/>
                <w:szCs w:val="18"/>
              </w:rPr>
              <w:t>4) щодо прав автора та суміжних прав, в тому числі спорах щодо колективного управління майновими правами автора та суміжними правами;</w:t>
            </w:r>
          </w:p>
          <w:p w:rsidR="005563EB" w:rsidRPr="00F472B5" w:rsidRDefault="00C047B5" w:rsidP="00F472B5">
            <w:pPr>
              <w:pStyle w:val="rvps2"/>
              <w:shd w:val="clear" w:color="auto" w:fill="FFFFFF"/>
              <w:spacing w:before="0" w:beforeAutospacing="0" w:after="0" w:afterAutospacing="0"/>
              <w:ind w:firstLine="142"/>
              <w:jc w:val="both"/>
              <w:rPr>
                <w:rFonts w:ascii="Bookman Old Style" w:hAnsi="Bookman Old Style"/>
                <w:sz w:val="18"/>
                <w:szCs w:val="18"/>
              </w:rPr>
            </w:pPr>
            <w:bookmarkStart w:id="47" w:name="n179"/>
            <w:bookmarkEnd w:id="47"/>
            <w:r w:rsidRPr="00F472B5">
              <w:rPr>
                <w:rFonts w:ascii="Bookman Old Style" w:hAnsi="Bookman Old Style"/>
                <w:sz w:val="18"/>
                <w:szCs w:val="18"/>
              </w:rPr>
              <w:t>5) щодо укладання, зміни, розірвання і виконання договору щодо розпорядження майновими правами інтелектуальної власності, комерційної концесії;</w:t>
            </w:r>
          </w:p>
          <w:p w:rsidR="005563EB" w:rsidRPr="00F472B5" w:rsidRDefault="00C047B5" w:rsidP="00F472B5">
            <w:pPr>
              <w:pStyle w:val="rvps2"/>
              <w:shd w:val="clear" w:color="auto" w:fill="FFFFFF"/>
              <w:spacing w:before="0" w:beforeAutospacing="0" w:after="0" w:afterAutospacing="0"/>
              <w:ind w:firstLine="142"/>
              <w:jc w:val="both"/>
              <w:rPr>
                <w:rFonts w:ascii="Bookman Old Style" w:hAnsi="Bookman Old Style"/>
                <w:b/>
                <w:i/>
                <w:sz w:val="18"/>
                <w:szCs w:val="18"/>
              </w:rPr>
            </w:pPr>
            <w:bookmarkStart w:id="48" w:name="n180"/>
            <w:bookmarkEnd w:id="48"/>
            <w:r w:rsidRPr="00F472B5">
              <w:rPr>
                <w:rFonts w:ascii="Bookman Old Style" w:hAnsi="Bookman Old Style"/>
                <w:sz w:val="18"/>
                <w:szCs w:val="18"/>
              </w:rPr>
              <w:t>6) справи у спорах, які виникають із відносин, пов’язаних із захистом від недобросовісної конкуренції, щодо: неправомірного використання позначень або товару іншого виробника; копіювання зовнішнього вигляду виробу; збирання, розголошення та використання комерційної таємниці; оскарження рішень АМКУ із визначених цим пунктом питань.</w:t>
            </w:r>
          </w:p>
        </w:tc>
        <w:tc>
          <w:tcPr>
            <w:tcW w:w="5316" w:type="dxa"/>
            <w:vMerge/>
          </w:tcPr>
          <w:p w:rsidR="005563EB" w:rsidRPr="00F472B5" w:rsidRDefault="005563EB" w:rsidP="00F472B5">
            <w:pPr>
              <w:pStyle w:val="rvps2"/>
              <w:shd w:val="clear" w:color="auto" w:fill="FFFFFF"/>
              <w:spacing w:before="0" w:beforeAutospacing="0" w:after="0" w:afterAutospacing="0"/>
              <w:ind w:firstLine="142"/>
              <w:jc w:val="center"/>
              <w:rPr>
                <w:rFonts w:ascii="Bookman Old Style" w:hAnsi="Bookman Old Style"/>
                <w:b/>
                <w:i/>
                <w:sz w:val="18"/>
                <w:szCs w:val="18"/>
              </w:rPr>
            </w:pPr>
          </w:p>
        </w:tc>
      </w:tr>
    </w:tbl>
    <w:p w:rsidR="008E2A95" w:rsidRPr="00F472B5" w:rsidRDefault="00CA07DB" w:rsidP="00F472B5">
      <w:pPr>
        <w:spacing w:after="0" w:line="240" w:lineRule="auto"/>
        <w:rPr>
          <w:rFonts w:ascii="Bookman Old Style" w:hAnsi="Bookman Old Style"/>
          <w:sz w:val="18"/>
          <w:szCs w:val="18"/>
        </w:rPr>
      </w:pPr>
      <w:bookmarkStart w:id="49" w:name="_GoBack"/>
      <w:bookmarkEnd w:id="49"/>
    </w:p>
    <w:sectPr w:rsidR="008E2A95" w:rsidRPr="00F472B5" w:rsidSect="001C5679">
      <w:pgSz w:w="16838" w:h="11906" w:orient="landscape"/>
      <w:pgMar w:top="624" w:right="57" w:bottom="57" w:left="5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542E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DB" w:rsidRDefault="00CA07DB" w:rsidP="001C5679">
      <w:pPr>
        <w:spacing w:after="0" w:line="240" w:lineRule="auto"/>
      </w:pPr>
      <w:r>
        <w:separator/>
      </w:r>
    </w:p>
  </w:endnote>
  <w:endnote w:type="continuationSeparator" w:id="0">
    <w:p w:rsidR="00CA07DB" w:rsidRDefault="00CA07DB" w:rsidP="001C5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DB" w:rsidRDefault="00CA07DB" w:rsidP="001C5679">
      <w:pPr>
        <w:spacing w:after="0" w:line="240" w:lineRule="auto"/>
      </w:pPr>
      <w:r>
        <w:separator/>
      </w:r>
    </w:p>
  </w:footnote>
  <w:footnote w:type="continuationSeparator" w:id="0">
    <w:p w:rsidR="00CA07DB" w:rsidRDefault="00CA07DB" w:rsidP="001C5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A80"/>
    <w:multiLevelType w:val="hybridMultilevel"/>
    <w:tmpl w:val="5AE20C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51002D2D"/>
    <w:multiLevelType w:val="hybridMultilevel"/>
    <w:tmpl w:val="9266D42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56F11318"/>
    <w:multiLevelType w:val="hybridMultilevel"/>
    <w:tmpl w:val="61F2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AC3B5B"/>
    <w:multiLevelType w:val="hybridMultilevel"/>
    <w:tmpl w:val="B9A6A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E507A"/>
    <w:multiLevelType w:val="hybridMultilevel"/>
    <w:tmpl w:val="2C4CD40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5FB85B6A"/>
    <w:multiLevelType w:val="hybridMultilevel"/>
    <w:tmpl w:val="F2624926"/>
    <w:lvl w:ilvl="0" w:tplc="F56E422A">
      <w:start w:val="1"/>
      <w:numFmt w:val="decimal"/>
      <w:lvlText w:val="%1."/>
      <w:lvlJc w:val="left"/>
      <w:pPr>
        <w:ind w:left="1477" w:hanging="88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C7A5036"/>
    <w:multiLevelType w:val="hybridMultilevel"/>
    <w:tmpl w:val="BACE26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5350A0"/>
    <w:multiLevelType w:val="hybridMultilevel"/>
    <w:tmpl w:val="945AA65A"/>
    <w:lvl w:ilvl="0" w:tplc="F56E422A">
      <w:start w:val="1"/>
      <w:numFmt w:val="decimal"/>
      <w:lvlText w:val="%1."/>
      <w:lvlJc w:val="left"/>
      <w:pPr>
        <w:ind w:left="1335" w:hanging="88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7"/>
  </w:num>
  <w:num w:numId="3">
    <w:abstractNumId w:val="5"/>
  </w:num>
  <w:num w:numId="4">
    <w:abstractNumId w:val="4"/>
  </w:num>
  <w:num w:numId="5">
    <w:abstractNumId w:val="0"/>
  </w:num>
  <w:num w:numId="6">
    <w:abstractNumId w:val="3"/>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рий Дячук">
    <w15:presenceInfo w15:providerId="Windows Live" w15:userId="f38f3cc02a15da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4834"/>
    <w:rsid w:val="000403FD"/>
    <w:rsid w:val="000E3960"/>
    <w:rsid w:val="001C5679"/>
    <w:rsid w:val="00254099"/>
    <w:rsid w:val="00340F39"/>
    <w:rsid w:val="00353503"/>
    <w:rsid w:val="003B39E6"/>
    <w:rsid w:val="00464242"/>
    <w:rsid w:val="00465D5C"/>
    <w:rsid w:val="00480F92"/>
    <w:rsid w:val="005563EB"/>
    <w:rsid w:val="0056299D"/>
    <w:rsid w:val="00677469"/>
    <w:rsid w:val="007153CD"/>
    <w:rsid w:val="0077547C"/>
    <w:rsid w:val="008172EB"/>
    <w:rsid w:val="00904834"/>
    <w:rsid w:val="00AD1174"/>
    <w:rsid w:val="00B2480E"/>
    <w:rsid w:val="00C047B5"/>
    <w:rsid w:val="00C31801"/>
    <w:rsid w:val="00CA07DB"/>
    <w:rsid w:val="00D303B5"/>
    <w:rsid w:val="00D717F2"/>
    <w:rsid w:val="00D92C84"/>
    <w:rsid w:val="00D9449C"/>
    <w:rsid w:val="00DB2EC3"/>
    <w:rsid w:val="00E35272"/>
    <w:rsid w:val="00F4162E"/>
    <w:rsid w:val="00F472B5"/>
    <w:rsid w:val="00F73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
    <w:name w:val="rvps7"/>
    <w:basedOn w:val="a"/>
    <w:rsid w:val="000403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403FD"/>
  </w:style>
  <w:style w:type="paragraph" w:customStyle="1" w:styleId="rvps2">
    <w:name w:val="rvps2"/>
    <w:basedOn w:val="a"/>
    <w:rsid w:val="000403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403FD"/>
  </w:style>
  <w:style w:type="character" w:styleId="a4">
    <w:name w:val="Hyperlink"/>
    <w:basedOn w:val="a0"/>
    <w:uiPriority w:val="99"/>
    <w:semiHidden/>
    <w:unhideWhenUsed/>
    <w:rsid w:val="000403FD"/>
    <w:rPr>
      <w:color w:val="0000FF"/>
      <w:u w:val="single"/>
    </w:rPr>
  </w:style>
  <w:style w:type="paragraph" w:styleId="a5">
    <w:name w:val="header"/>
    <w:basedOn w:val="a"/>
    <w:link w:val="a6"/>
    <w:uiPriority w:val="99"/>
    <w:semiHidden/>
    <w:unhideWhenUsed/>
    <w:rsid w:val="001C5679"/>
    <w:pPr>
      <w:tabs>
        <w:tab w:val="center" w:pos="4677"/>
        <w:tab w:val="right" w:pos="9355"/>
      </w:tabs>
      <w:spacing w:after="0" w:line="240" w:lineRule="auto"/>
    </w:pPr>
    <w:rPr>
      <w:rFonts w:eastAsiaTheme="minorEastAsia"/>
      <w:lang w:val="ru-RU" w:eastAsia="ru-RU"/>
    </w:rPr>
  </w:style>
  <w:style w:type="character" w:customStyle="1" w:styleId="a6">
    <w:name w:val="Верхний колонтитул Знак"/>
    <w:basedOn w:val="a0"/>
    <w:link w:val="a5"/>
    <w:uiPriority w:val="99"/>
    <w:semiHidden/>
    <w:rsid w:val="001C5679"/>
    <w:rPr>
      <w:rFonts w:eastAsiaTheme="minorEastAsia"/>
      <w:lang w:val="ru-RU" w:eastAsia="ru-RU"/>
    </w:rPr>
  </w:style>
  <w:style w:type="paragraph" w:styleId="a7">
    <w:name w:val="footer"/>
    <w:basedOn w:val="a"/>
    <w:link w:val="a8"/>
    <w:uiPriority w:val="99"/>
    <w:semiHidden/>
    <w:unhideWhenUsed/>
    <w:rsid w:val="001C567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C5679"/>
  </w:style>
  <w:style w:type="character" w:styleId="a9">
    <w:name w:val="annotation reference"/>
    <w:basedOn w:val="a0"/>
    <w:uiPriority w:val="99"/>
    <w:semiHidden/>
    <w:unhideWhenUsed/>
    <w:rsid w:val="00D92C84"/>
    <w:rPr>
      <w:sz w:val="16"/>
      <w:szCs w:val="16"/>
    </w:rPr>
  </w:style>
  <w:style w:type="paragraph" w:styleId="aa">
    <w:name w:val="annotation text"/>
    <w:basedOn w:val="a"/>
    <w:link w:val="ab"/>
    <w:uiPriority w:val="99"/>
    <w:semiHidden/>
    <w:unhideWhenUsed/>
    <w:rsid w:val="00D92C84"/>
    <w:pPr>
      <w:spacing w:line="240" w:lineRule="auto"/>
    </w:pPr>
    <w:rPr>
      <w:sz w:val="20"/>
      <w:szCs w:val="20"/>
    </w:rPr>
  </w:style>
  <w:style w:type="character" w:customStyle="1" w:styleId="ab">
    <w:name w:val="Текст примечания Знак"/>
    <w:basedOn w:val="a0"/>
    <w:link w:val="aa"/>
    <w:uiPriority w:val="99"/>
    <w:semiHidden/>
    <w:rsid w:val="00D92C84"/>
    <w:rPr>
      <w:sz w:val="20"/>
      <w:szCs w:val="20"/>
    </w:rPr>
  </w:style>
  <w:style w:type="paragraph" w:styleId="ac">
    <w:name w:val="annotation subject"/>
    <w:basedOn w:val="aa"/>
    <w:next w:val="aa"/>
    <w:link w:val="ad"/>
    <w:uiPriority w:val="99"/>
    <w:semiHidden/>
    <w:unhideWhenUsed/>
    <w:rsid w:val="00D92C84"/>
    <w:rPr>
      <w:b/>
      <w:bCs/>
    </w:rPr>
  </w:style>
  <w:style w:type="character" w:customStyle="1" w:styleId="ad">
    <w:name w:val="Тема примечания Знак"/>
    <w:basedOn w:val="ab"/>
    <w:link w:val="ac"/>
    <w:uiPriority w:val="99"/>
    <w:semiHidden/>
    <w:rsid w:val="00D92C84"/>
    <w:rPr>
      <w:b/>
      <w:bCs/>
      <w:sz w:val="20"/>
      <w:szCs w:val="20"/>
    </w:rPr>
  </w:style>
  <w:style w:type="paragraph" w:styleId="ae">
    <w:name w:val="Balloon Text"/>
    <w:basedOn w:val="a"/>
    <w:link w:val="af"/>
    <w:uiPriority w:val="99"/>
    <w:semiHidden/>
    <w:unhideWhenUsed/>
    <w:rsid w:val="00D92C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2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337802">
      <w:bodyDiv w:val="1"/>
      <w:marLeft w:val="0"/>
      <w:marRight w:val="0"/>
      <w:marTop w:val="0"/>
      <w:marBottom w:val="0"/>
      <w:divBdr>
        <w:top w:val="none" w:sz="0" w:space="0" w:color="auto"/>
        <w:left w:val="none" w:sz="0" w:space="0" w:color="auto"/>
        <w:bottom w:val="none" w:sz="0" w:space="0" w:color="auto"/>
        <w:right w:val="none" w:sz="0" w:space="0" w:color="auto"/>
      </w:divBdr>
    </w:div>
    <w:div w:id="185206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35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Дячук</dc:creator>
  <cp:lastModifiedBy>Yuriy</cp:lastModifiedBy>
  <cp:revision>5</cp:revision>
  <dcterms:created xsi:type="dcterms:W3CDTF">2018-01-09T14:22:00Z</dcterms:created>
  <dcterms:modified xsi:type="dcterms:W3CDTF">2018-01-29T22:04:00Z</dcterms:modified>
</cp:coreProperties>
</file>