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026" w:type="dxa"/>
        <w:tblInd w:w="-176" w:type="dxa"/>
        <w:tblLook w:val="04A0"/>
      </w:tblPr>
      <w:tblGrid>
        <w:gridCol w:w="1977"/>
        <w:gridCol w:w="9"/>
        <w:gridCol w:w="6378"/>
        <w:gridCol w:w="6662"/>
      </w:tblGrid>
      <w:tr w:rsidR="00FE0FE0" w:rsidRPr="006C3541" w:rsidTr="006C3541">
        <w:tc>
          <w:tcPr>
            <w:tcW w:w="15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4C1" w:rsidRDefault="004664C1" w:rsidP="004664C1">
            <w:pPr>
              <w:pStyle w:val="rvps2"/>
              <w:shd w:val="clear" w:color="auto" w:fill="FFFFFF"/>
              <w:spacing w:before="0" w:beforeAutospacing="0" w:after="0" w:afterAutospacing="0"/>
              <w:ind w:firstLine="448"/>
              <w:jc w:val="center"/>
              <w:rPr>
                <w:rFonts w:ascii="Bookman Old Style" w:hAnsi="Bookman Old Style"/>
                <w:b/>
                <w:sz w:val="22"/>
                <w:szCs w:val="22"/>
                <w:lang w:eastAsia="uk-UA"/>
              </w:rPr>
            </w:pPr>
            <w:r>
              <w:rPr>
                <w:rFonts w:ascii="Bookman Old Style" w:hAnsi="Bookman Old Style"/>
                <w:b/>
                <w:sz w:val="22"/>
                <w:szCs w:val="22"/>
              </w:rPr>
              <w:t>ЗАГАЛЬНІ ПОЛОЖЕННЯ:</w:t>
            </w:r>
          </w:p>
          <w:p w:rsidR="00FE0FE0" w:rsidRPr="006C3541" w:rsidRDefault="00FE0FE0" w:rsidP="006C3541">
            <w:pPr>
              <w:jc w:val="center"/>
              <w:rPr>
                <w:rFonts w:ascii="Bookman Old Style" w:hAnsi="Bookman Old Style"/>
                <w:b/>
                <w:lang w:val="uk-UA"/>
              </w:rPr>
            </w:pPr>
            <w:bookmarkStart w:id="0" w:name="_GoBack"/>
            <w:bookmarkEnd w:id="0"/>
            <w:r w:rsidRPr="006C3541">
              <w:rPr>
                <w:rFonts w:ascii="Bookman Old Style" w:hAnsi="Bookman Old Style"/>
                <w:b/>
                <w:lang w:val="uk-UA"/>
              </w:rPr>
              <w:t>Судові витрати</w:t>
            </w:r>
          </w:p>
        </w:tc>
      </w:tr>
      <w:tr w:rsidR="00FE0FE0" w:rsidRPr="006C3541" w:rsidTr="006C3541">
        <w:trPr>
          <w:trHeight w:val="432"/>
        </w:trPr>
        <w:tc>
          <w:tcPr>
            <w:tcW w:w="15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FE0" w:rsidRPr="006C3541" w:rsidRDefault="00FE0FE0" w:rsidP="006C3541">
            <w:pPr>
              <w:pStyle w:val="rvps2"/>
              <w:shd w:val="clear" w:color="auto" w:fill="FFFFFF"/>
              <w:spacing w:before="0" w:beforeAutospacing="0" w:after="0" w:afterAutospacing="0"/>
              <w:ind w:firstLine="284"/>
              <w:jc w:val="center"/>
              <w:rPr>
                <w:rFonts w:ascii="Bookman Old Style" w:hAnsi="Bookman Old Style"/>
                <w:i/>
                <w:sz w:val="22"/>
                <w:szCs w:val="22"/>
                <w:lang w:val="uk-UA"/>
              </w:rPr>
            </w:pPr>
            <w:r w:rsidRPr="006C3541">
              <w:rPr>
                <w:rFonts w:ascii="Bookman Old Style" w:hAnsi="Bookman Old Style"/>
                <w:i/>
                <w:sz w:val="22"/>
                <w:szCs w:val="22"/>
                <w:lang w:val="uk-UA"/>
              </w:rPr>
              <w:t xml:space="preserve">Судові витрати складаються із </w:t>
            </w:r>
            <w:r w:rsidRPr="006C3541">
              <w:rPr>
                <w:rFonts w:ascii="Bookman Old Style" w:hAnsi="Bookman Old Style"/>
                <w:b/>
                <w:i/>
                <w:sz w:val="22"/>
                <w:szCs w:val="22"/>
                <w:lang w:val="uk-UA"/>
              </w:rPr>
              <w:t>судового збору</w:t>
            </w:r>
            <w:r w:rsidRPr="006C3541">
              <w:rPr>
                <w:rFonts w:ascii="Bookman Old Style" w:hAnsi="Bookman Old Style"/>
                <w:i/>
                <w:sz w:val="22"/>
                <w:szCs w:val="22"/>
                <w:lang w:val="uk-UA"/>
              </w:rPr>
              <w:t xml:space="preserve"> та </w:t>
            </w:r>
            <w:r w:rsidRPr="006C3541">
              <w:rPr>
                <w:rFonts w:ascii="Bookman Old Style" w:hAnsi="Bookman Old Style"/>
                <w:b/>
                <w:i/>
                <w:sz w:val="22"/>
                <w:szCs w:val="22"/>
                <w:lang w:val="uk-UA"/>
              </w:rPr>
              <w:t>витрат, пов'язаних з розглядом справи</w:t>
            </w:r>
            <w:r w:rsidRPr="006C3541">
              <w:rPr>
                <w:rFonts w:ascii="Bookman Old Style" w:hAnsi="Bookman Old Style"/>
                <w:i/>
                <w:sz w:val="22"/>
                <w:szCs w:val="22"/>
                <w:lang w:val="uk-UA"/>
              </w:rPr>
              <w:t>.</w:t>
            </w:r>
          </w:p>
          <w:p w:rsidR="00FE0FE0" w:rsidRPr="006C3541" w:rsidRDefault="00FE0FE0" w:rsidP="006C3541">
            <w:pPr>
              <w:pStyle w:val="rvps2"/>
              <w:shd w:val="clear" w:color="auto" w:fill="FFFFFF"/>
              <w:spacing w:before="0" w:beforeAutospacing="0" w:after="0" w:afterAutospacing="0"/>
              <w:jc w:val="center"/>
              <w:rPr>
                <w:rFonts w:ascii="Bookman Old Style" w:hAnsi="Bookman Old Style"/>
                <w:i/>
                <w:color w:val="000000"/>
                <w:sz w:val="22"/>
                <w:szCs w:val="22"/>
                <w:u w:val="single"/>
                <w:lang w:val="uk-UA"/>
              </w:rPr>
            </w:pPr>
            <w:r w:rsidRPr="006C3541">
              <w:rPr>
                <w:rFonts w:ascii="Bookman Old Style" w:hAnsi="Bookman Old Style"/>
                <w:i/>
                <w:color w:val="000000"/>
                <w:sz w:val="22"/>
                <w:szCs w:val="22"/>
                <w:lang w:val="uk-UA"/>
              </w:rPr>
              <w:t xml:space="preserve">Розмір судового збору, порядок його сплати, повернення і звільнення від сплати встановлюються </w:t>
            </w:r>
            <w:r w:rsidR="006C3541" w:rsidRPr="006C3541">
              <w:rPr>
                <w:rFonts w:ascii="Bookman Old Style" w:hAnsi="Bookman Old Style"/>
                <w:i/>
                <w:color w:val="000000"/>
                <w:sz w:val="22"/>
                <w:szCs w:val="22"/>
                <w:lang w:val="uk-UA"/>
              </w:rPr>
              <w:t>ЗУ</w:t>
            </w:r>
            <w:r w:rsidRPr="006C3541">
              <w:rPr>
                <w:rFonts w:ascii="Bookman Old Style" w:hAnsi="Bookman Old Style"/>
                <w:i/>
                <w:color w:val="000000"/>
                <w:sz w:val="22"/>
                <w:szCs w:val="22"/>
                <w:lang w:val="uk-UA"/>
              </w:rPr>
              <w:t xml:space="preserve"> «Про судовий збір».</w:t>
            </w:r>
          </w:p>
        </w:tc>
      </w:tr>
      <w:tr w:rsidR="006C3541" w:rsidRPr="006C3541" w:rsidTr="00663BF7">
        <w:tc>
          <w:tcPr>
            <w:tcW w:w="1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A6FB7" w:rsidRPr="006C3541" w:rsidRDefault="001A6FB7" w:rsidP="006C3541">
            <w:pPr>
              <w:jc w:val="center"/>
              <w:rPr>
                <w:rFonts w:ascii="Bookman Old Style" w:hAnsi="Bookman Old Style"/>
                <w:i/>
                <w:lang w:val="uk-UA"/>
              </w:rPr>
            </w:pPr>
          </w:p>
        </w:tc>
        <w:tc>
          <w:tcPr>
            <w:tcW w:w="63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6FB7" w:rsidRPr="006C3541" w:rsidRDefault="001A6FB7" w:rsidP="006C3541">
            <w:pPr>
              <w:jc w:val="center"/>
              <w:rPr>
                <w:rFonts w:ascii="Bookman Old Style" w:hAnsi="Bookman Old Style"/>
                <w:i/>
                <w:lang w:val="uk-UA"/>
              </w:rPr>
            </w:pPr>
            <w:r w:rsidRPr="006C3541">
              <w:rPr>
                <w:rFonts w:ascii="Bookman Old Style" w:hAnsi="Bookman Old Style"/>
                <w:i/>
                <w:lang w:val="uk-UA"/>
              </w:rPr>
              <w:t>Було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FB7" w:rsidRPr="006C3541" w:rsidRDefault="001A6FB7" w:rsidP="006C3541">
            <w:pPr>
              <w:jc w:val="center"/>
              <w:rPr>
                <w:rFonts w:ascii="Bookman Old Style" w:hAnsi="Bookman Old Style"/>
                <w:i/>
                <w:sz w:val="20"/>
                <w:szCs w:val="20"/>
                <w:lang w:val="uk-UA"/>
              </w:rPr>
            </w:pPr>
            <w:r w:rsidRPr="006C3541">
              <w:rPr>
                <w:rFonts w:ascii="Bookman Old Style" w:hAnsi="Bookman Old Style"/>
                <w:i/>
                <w:sz w:val="20"/>
                <w:szCs w:val="20"/>
                <w:lang w:val="uk-UA"/>
              </w:rPr>
              <w:t>Стало</w:t>
            </w:r>
          </w:p>
        </w:tc>
      </w:tr>
      <w:tr w:rsidR="006C3541" w:rsidRPr="006C3541" w:rsidTr="00D70131">
        <w:trPr>
          <w:trHeight w:val="2412"/>
        </w:trPr>
        <w:tc>
          <w:tcPr>
            <w:tcW w:w="1977" w:type="dxa"/>
            <w:tcBorders>
              <w:top w:val="single" w:sz="4" w:space="0" w:color="000000" w:themeColor="text1"/>
              <w:left w:val="single" w:sz="4" w:space="0" w:color="000000" w:themeColor="text1"/>
              <w:bottom w:val="single" w:sz="4" w:space="0" w:color="auto"/>
              <w:right w:val="single" w:sz="4" w:space="0" w:color="auto"/>
            </w:tcBorders>
            <w:hideMark/>
          </w:tcPr>
          <w:p w:rsidR="001A6FB7" w:rsidRPr="00D70131" w:rsidRDefault="00D70131" w:rsidP="00D70131">
            <w:pPr>
              <w:pStyle w:val="a3"/>
              <w:tabs>
                <w:tab w:val="left" w:pos="284"/>
                <w:tab w:val="left" w:pos="426"/>
              </w:tabs>
              <w:ind w:left="0"/>
              <w:jc w:val="center"/>
              <w:rPr>
                <w:rFonts w:ascii="Bookman Old Style" w:hAnsi="Bookman Old Style"/>
                <w:sz w:val="20"/>
                <w:szCs w:val="18"/>
                <w:lang w:val="uk-UA"/>
              </w:rPr>
            </w:pPr>
            <w:r>
              <w:rPr>
                <w:rFonts w:ascii="Bookman Old Style" w:hAnsi="Bookman Old Style"/>
                <w:sz w:val="20"/>
                <w:szCs w:val="18"/>
                <w:lang w:val="uk-UA"/>
              </w:rPr>
              <w:t>Види витрат</w:t>
            </w:r>
            <w:r w:rsidR="001A6FB7" w:rsidRPr="00D70131">
              <w:rPr>
                <w:rFonts w:ascii="Bookman Old Style" w:hAnsi="Bookman Old Style"/>
                <w:sz w:val="20"/>
                <w:szCs w:val="18"/>
                <w:lang w:val="uk-UA"/>
              </w:rPr>
              <w:t>, пов’язані з розглядом справи</w:t>
            </w:r>
          </w:p>
        </w:tc>
        <w:tc>
          <w:tcPr>
            <w:tcW w:w="6387" w:type="dxa"/>
            <w:gridSpan w:val="2"/>
            <w:tcBorders>
              <w:top w:val="single" w:sz="4" w:space="0" w:color="000000" w:themeColor="text1"/>
              <w:left w:val="single" w:sz="4" w:space="0" w:color="auto"/>
              <w:bottom w:val="single" w:sz="4" w:space="0" w:color="auto"/>
              <w:right w:val="single" w:sz="4" w:space="0" w:color="000000" w:themeColor="text1"/>
            </w:tcBorders>
          </w:tcPr>
          <w:p w:rsidR="001A6FB7" w:rsidRPr="006C3541" w:rsidRDefault="001A6FB7" w:rsidP="006C3541">
            <w:pPr>
              <w:pStyle w:val="a3"/>
              <w:numPr>
                <w:ilvl w:val="0"/>
                <w:numId w:val="1"/>
              </w:numPr>
              <w:tabs>
                <w:tab w:val="left" w:pos="284"/>
                <w:tab w:val="left" w:pos="426"/>
              </w:tabs>
              <w:ind w:left="0" w:firstLine="0"/>
              <w:rPr>
                <w:rFonts w:ascii="Bookman Old Style" w:hAnsi="Bookman Old Style"/>
                <w:sz w:val="20"/>
                <w:szCs w:val="18"/>
                <w:lang w:val="uk-UA"/>
              </w:rPr>
            </w:pPr>
            <w:r w:rsidRPr="006C3541">
              <w:rPr>
                <w:rFonts w:ascii="Bookman Old Style" w:hAnsi="Bookman Old Style"/>
                <w:sz w:val="20"/>
                <w:szCs w:val="18"/>
                <w:lang w:val="uk-UA"/>
              </w:rPr>
              <w:t>витрати на правову допомогу;</w:t>
            </w:r>
          </w:p>
          <w:p w:rsidR="001A6FB7" w:rsidRPr="006C3541" w:rsidRDefault="001A6FB7" w:rsidP="006C3541">
            <w:pPr>
              <w:pStyle w:val="a3"/>
              <w:numPr>
                <w:ilvl w:val="0"/>
                <w:numId w:val="1"/>
              </w:numPr>
              <w:tabs>
                <w:tab w:val="left" w:pos="284"/>
                <w:tab w:val="left" w:pos="426"/>
              </w:tabs>
              <w:ind w:left="0" w:firstLine="0"/>
              <w:rPr>
                <w:rFonts w:ascii="Bookman Old Style" w:hAnsi="Bookman Old Style"/>
                <w:sz w:val="20"/>
                <w:szCs w:val="18"/>
                <w:lang w:val="uk-UA"/>
              </w:rPr>
            </w:pPr>
            <w:r w:rsidRPr="006C3541">
              <w:rPr>
                <w:rFonts w:ascii="Bookman Old Style" w:hAnsi="Bookman Old Style"/>
                <w:sz w:val="20"/>
                <w:szCs w:val="18"/>
                <w:lang w:val="uk-UA"/>
              </w:rPr>
              <w:t xml:space="preserve"> витрати сторін та їх представників, що пов'язані з явкою до суду;</w:t>
            </w:r>
          </w:p>
          <w:p w:rsidR="001A6FB7" w:rsidRPr="006C3541" w:rsidRDefault="001A6FB7" w:rsidP="006C3541">
            <w:pPr>
              <w:pStyle w:val="a3"/>
              <w:numPr>
                <w:ilvl w:val="0"/>
                <w:numId w:val="1"/>
              </w:numPr>
              <w:tabs>
                <w:tab w:val="left" w:pos="284"/>
                <w:tab w:val="left" w:pos="426"/>
              </w:tabs>
              <w:ind w:left="0" w:firstLine="0"/>
              <w:rPr>
                <w:rFonts w:ascii="Bookman Old Style" w:hAnsi="Bookman Old Style"/>
                <w:sz w:val="20"/>
                <w:szCs w:val="18"/>
                <w:lang w:val="uk-UA"/>
              </w:rPr>
            </w:pPr>
            <w:r w:rsidRPr="006C3541">
              <w:rPr>
                <w:rFonts w:ascii="Bookman Old Style" w:hAnsi="Bookman Old Style"/>
                <w:sz w:val="20"/>
                <w:szCs w:val="18"/>
                <w:lang w:val="uk-UA"/>
              </w:rPr>
              <w:t xml:space="preserve"> витрати, пов'язані із залученням свідків, спеціалістів, перекладачів та проведенням судових експертиз;</w:t>
            </w:r>
          </w:p>
          <w:p w:rsidR="001A6FB7" w:rsidRPr="006C3541" w:rsidRDefault="001A6FB7" w:rsidP="006C3541">
            <w:pPr>
              <w:pStyle w:val="a3"/>
              <w:numPr>
                <w:ilvl w:val="0"/>
                <w:numId w:val="1"/>
              </w:numPr>
              <w:tabs>
                <w:tab w:val="left" w:pos="284"/>
                <w:tab w:val="left" w:pos="426"/>
              </w:tabs>
              <w:ind w:left="0" w:firstLine="0"/>
              <w:rPr>
                <w:rFonts w:ascii="Bookman Old Style" w:hAnsi="Bookman Old Style"/>
                <w:sz w:val="20"/>
                <w:szCs w:val="18"/>
                <w:lang w:val="uk-UA"/>
              </w:rPr>
            </w:pPr>
            <w:r w:rsidRPr="006C3541">
              <w:rPr>
                <w:rFonts w:ascii="Bookman Old Style" w:hAnsi="Bookman Old Style"/>
                <w:sz w:val="20"/>
                <w:szCs w:val="18"/>
                <w:lang w:val="uk-UA"/>
              </w:rPr>
              <w:t>витрати, пов'язані з проведенням огляду доказів за місцем їх знаходження та вчиненням інших дій, необхідних для розгляду справи;</w:t>
            </w:r>
          </w:p>
          <w:p w:rsidR="001A6FB7" w:rsidRPr="006C3541" w:rsidRDefault="001A6FB7" w:rsidP="006C3541">
            <w:pPr>
              <w:pStyle w:val="a3"/>
              <w:numPr>
                <w:ilvl w:val="0"/>
                <w:numId w:val="1"/>
              </w:numPr>
              <w:tabs>
                <w:tab w:val="left" w:pos="284"/>
                <w:tab w:val="left" w:pos="426"/>
              </w:tabs>
              <w:ind w:left="0" w:firstLine="0"/>
              <w:rPr>
                <w:rFonts w:ascii="Bookman Old Style" w:hAnsi="Bookman Old Style"/>
                <w:sz w:val="20"/>
                <w:szCs w:val="18"/>
                <w:lang w:val="uk-UA"/>
              </w:rPr>
            </w:pPr>
            <w:r w:rsidRPr="006C3541">
              <w:rPr>
                <w:rFonts w:ascii="Bookman Old Style" w:hAnsi="Bookman Old Style"/>
                <w:sz w:val="20"/>
                <w:szCs w:val="18"/>
                <w:lang w:val="uk-UA"/>
              </w:rPr>
              <w:t>витрати, пов'язані з публікацією в пресі оголошення про виклик відповідача.</w:t>
            </w: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A6FB7" w:rsidRPr="006C3541" w:rsidRDefault="001A6FB7" w:rsidP="006C3541">
            <w:pPr>
              <w:pStyle w:val="a3"/>
              <w:numPr>
                <w:ilvl w:val="1"/>
                <w:numId w:val="3"/>
              </w:numPr>
              <w:ind w:left="0" w:firstLine="0"/>
              <w:rPr>
                <w:rFonts w:ascii="Bookman Old Style" w:hAnsi="Bookman Old Style"/>
                <w:sz w:val="20"/>
                <w:szCs w:val="20"/>
                <w:lang w:val="uk-UA"/>
              </w:rPr>
            </w:pPr>
            <w:r w:rsidRPr="00D70131">
              <w:rPr>
                <w:rFonts w:ascii="Bookman Old Style" w:hAnsi="Bookman Old Style"/>
                <w:b/>
                <w:sz w:val="20"/>
                <w:szCs w:val="20"/>
                <w:lang w:val="uk-UA"/>
              </w:rPr>
              <w:t xml:space="preserve">на професійну </w:t>
            </w:r>
            <w:r w:rsidRPr="00D70131">
              <w:rPr>
                <w:rFonts w:ascii="Bookman Old Style" w:hAnsi="Bookman Old Style"/>
                <w:b/>
                <w:sz w:val="20"/>
                <w:szCs w:val="20"/>
                <w:u w:val="single"/>
                <w:lang w:val="uk-UA"/>
              </w:rPr>
              <w:t>правничу</w:t>
            </w:r>
            <w:r w:rsidRPr="00D70131">
              <w:rPr>
                <w:rFonts w:ascii="Bookman Old Style" w:hAnsi="Bookman Old Style"/>
                <w:b/>
                <w:sz w:val="20"/>
                <w:szCs w:val="20"/>
                <w:lang w:val="uk-UA"/>
              </w:rPr>
              <w:t xml:space="preserve"> допомогу</w:t>
            </w:r>
            <w:r w:rsidRPr="006C3541">
              <w:rPr>
                <w:rFonts w:ascii="Bookman Old Style" w:hAnsi="Bookman Old Style"/>
                <w:sz w:val="20"/>
                <w:szCs w:val="20"/>
                <w:lang w:val="uk-UA"/>
              </w:rPr>
              <w:t xml:space="preserve">; </w:t>
            </w:r>
          </w:p>
          <w:p w:rsidR="001A6FB7" w:rsidRPr="006C3541" w:rsidRDefault="00D70131" w:rsidP="006C3541">
            <w:pPr>
              <w:pStyle w:val="a3"/>
              <w:numPr>
                <w:ilvl w:val="1"/>
                <w:numId w:val="3"/>
              </w:numPr>
              <w:ind w:left="0" w:firstLine="0"/>
              <w:rPr>
                <w:rFonts w:ascii="Bookman Old Style" w:hAnsi="Bookman Old Style"/>
                <w:sz w:val="20"/>
                <w:szCs w:val="20"/>
                <w:lang w:val="uk-UA"/>
              </w:rPr>
            </w:pPr>
            <w:r>
              <w:rPr>
                <w:rFonts w:ascii="Bookman Old Style" w:hAnsi="Bookman Old Style"/>
                <w:color w:val="000000"/>
                <w:sz w:val="20"/>
                <w:szCs w:val="20"/>
                <w:lang w:val="uk-UA"/>
              </w:rPr>
              <w:t xml:space="preserve">витрати </w:t>
            </w:r>
            <w:r w:rsidR="001A6FB7" w:rsidRPr="006C3541">
              <w:rPr>
                <w:rFonts w:ascii="Bookman Old Style" w:hAnsi="Bookman Old Style"/>
                <w:color w:val="000000"/>
                <w:sz w:val="20"/>
                <w:szCs w:val="20"/>
                <w:lang w:val="uk-UA"/>
              </w:rPr>
              <w:t>сторін та їхніх представників, що пов’язані із прибуттям до суду; (КАСУ)</w:t>
            </w:r>
          </w:p>
          <w:p w:rsidR="001A6FB7" w:rsidRPr="006C3541" w:rsidRDefault="001A6FB7" w:rsidP="006C3541">
            <w:pPr>
              <w:pStyle w:val="a3"/>
              <w:numPr>
                <w:ilvl w:val="1"/>
                <w:numId w:val="3"/>
              </w:numPr>
              <w:ind w:left="0" w:firstLine="0"/>
              <w:rPr>
                <w:rFonts w:ascii="Bookman Old Style" w:hAnsi="Bookman Old Style"/>
                <w:sz w:val="20"/>
                <w:szCs w:val="20"/>
                <w:lang w:val="uk-UA"/>
              </w:rPr>
            </w:pPr>
            <w:r w:rsidRPr="006C3541">
              <w:rPr>
                <w:rFonts w:ascii="Bookman Old Style" w:hAnsi="Bookman Old Style"/>
                <w:sz w:val="20"/>
                <w:szCs w:val="20"/>
                <w:lang w:val="uk-UA"/>
              </w:rPr>
              <w:t>пов’язані із залученням свідків, спеціалістів, перекладачів, експертів та проведенням експертизи;</w:t>
            </w:r>
          </w:p>
          <w:p w:rsidR="001A6FB7" w:rsidRPr="006C3541" w:rsidRDefault="001A6FB7" w:rsidP="006C3541">
            <w:pPr>
              <w:pStyle w:val="a3"/>
              <w:numPr>
                <w:ilvl w:val="1"/>
                <w:numId w:val="3"/>
              </w:numPr>
              <w:ind w:left="0" w:firstLine="0"/>
              <w:rPr>
                <w:rFonts w:ascii="Bookman Old Style" w:hAnsi="Bookman Old Style"/>
                <w:sz w:val="20"/>
                <w:szCs w:val="20"/>
                <w:lang w:val="uk-UA"/>
              </w:rPr>
            </w:pPr>
            <w:r w:rsidRPr="006C3541">
              <w:rPr>
                <w:rFonts w:ascii="Bookman Old Style" w:hAnsi="Bookman Old Style"/>
                <w:sz w:val="20"/>
                <w:szCs w:val="20"/>
                <w:lang w:val="uk-UA"/>
              </w:rPr>
              <w:t xml:space="preserve">пов’язані з </w:t>
            </w:r>
            <w:r w:rsidRPr="006C3541">
              <w:rPr>
                <w:rFonts w:ascii="Bookman Old Style" w:hAnsi="Bookman Old Style"/>
                <w:b/>
                <w:sz w:val="20"/>
                <w:szCs w:val="20"/>
                <w:u w:val="single"/>
                <w:lang w:val="uk-UA"/>
              </w:rPr>
              <w:t>витребуванням</w:t>
            </w:r>
            <w:r w:rsidRPr="006C3541">
              <w:rPr>
                <w:rFonts w:ascii="Bookman Old Style" w:hAnsi="Bookman Old Style"/>
                <w:sz w:val="20"/>
                <w:szCs w:val="20"/>
                <w:lang w:val="uk-UA"/>
              </w:rPr>
              <w:t xml:space="preserve"> доказів, проведенням огляду доказів за їх місцезнаходженням, забезпеченням доказів;</w:t>
            </w:r>
          </w:p>
          <w:p w:rsidR="001A6FB7" w:rsidRPr="006C3541" w:rsidRDefault="001A6FB7" w:rsidP="006C3541">
            <w:pPr>
              <w:pStyle w:val="a3"/>
              <w:numPr>
                <w:ilvl w:val="1"/>
                <w:numId w:val="3"/>
              </w:numPr>
              <w:ind w:left="0" w:firstLine="0"/>
              <w:rPr>
                <w:rFonts w:ascii="Bookman Old Style" w:hAnsi="Bookman Old Style"/>
                <w:sz w:val="20"/>
                <w:szCs w:val="20"/>
                <w:lang w:val="uk-UA"/>
              </w:rPr>
            </w:pPr>
            <w:r w:rsidRPr="006C3541">
              <w:rPr>
                <w:rFonts w:ascii="Bookman Old Style" w:hAnsi="Bookman Old Style"/>
                <w:sz w:val="20"/>
                <w:szCs w:val="20"/>
                <w:lang w:val="uk-UA"/>
              </w:rPr>
              <w:t>пов’язані з вчиненням інших процесуальних дій, необхідних для розгляду справи або підготовки до її розгляду.</w:t>
            </w:r>
          </w:p>
        </w:tc>
      </w:tr>
      <w:tr w:rsidR="00D70131" w:rsidRPr="006C3541" w:rsidTr="00D7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1986" w:type="dxa"/>
            <w:gridSpan w:val="2"/>
            <w:tcBorders>
              <w:right w:val="nil"/>
            </w:tcBorders>
          </w:tcPr>
          <w:p w:rsidR="00D70131" w:rsidRPr="006C3541" w:rsidRDefault="00D70131" w:rsidP="006C3541">
            <w:pPr>
              <w:jc w:val="center"/>
              <w:rPr>
                <w:rFonts w:ascii="Bookman Old Style" w:hAnsi="Bookman Old Style"/>
                <w:b/>
                <w:i/>
                <w:color w:val="000000"/>
                <w:shd w:val="clear" w:color="auto" w:fill="FFFFFF"/>
                <w:lang w:val="uk-UA"/>
              </w:rPr>
            </w:pPr>
          </w:p>
        </w:tc>
        <w:tc>
          <w:tcPr>
            <w:tcW w:w="13040" w:type="dxa"/>
            <w:gridSpan w:val="2"/>
            <w:tcBorders>
              <w:left w:val="nil"/>
            </w:tcBorders>
          </w:tcPr>
          <w:p w:rsidR="00D70131" w:rsidRPr="00D70131" w:rsidRDefault="00D70131" w:rsidP="00D70131">
            <w:pPr>
              <w:ind w:right="794"/>
              <w:jc w:val="center"/>
              <w:rPr>
                <w:rFonts w:ascii="Bookman Old Style" w:hAnsi="Bookman Old Style" w:cs="Times New Roman"/>
                <w:b/>
                <w:i/>
                <w:sz w:val="20"/>
                <w:lang w:val="uk-UA"/>
              </w:rPr>
            </w:pPr>
            <w:r>
              <w:rPr>
                <w:rFonts w:ascii="Bookman Old Style" w:hAnsi="Bookman Old Style" w:cs="Times New Roman"/>
                <w:b/>
                <w:i/>
                <w:sz w:val="20"/>
                <w:lang w:val="uk-UA"/>
              </w:rPr>
              <w:t xml:space="preserve">ВАЖЛИВО: </w:t>
            </w:r>
            <w:r w:rsidRPr="00D70131">
              <w:rPr>
                <w:rFonts w:ascii="Bookman Old Style" w:hAnsi="Bookman Old Style" w:cs="Times New Roman"/>
                <w:b/>
                <w:i/>
                <w:sz w:val="20"/>
                <w:lang w:val="uk-UA"/>
              </w:rPr>
              <w:t>Абсолютні новели в процесуальних кодексах</w:t>
            </w:r>
          </w:p>
        </w:tc>
      </w:tr>
      <w:tr w:rsidR="006C3541" w:rsidRPr="006C3541" w:rsidTr="006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06"/>
        </w:trPr>
        <w:tc>
          <w:tcPr>
            <w:tcW w:w="1986" w:type="dxa"/>
            <w:gridSpan w:val="2"/>
          </w:tcPr>
          <w:p w:rsidR="006C3541" w:rsidRPr="006C3541" w:rsidRDefault="006C3541" w:rsidP="006C3541">
            <w:pPr>
              <w:jc w:val="center"/>
              <w:rPr>
                <w:rFonts w:ascii="Bookman Old Style" w:hAnsi="Bookman Old Style"/>
                <w:b/>
                <w:i/>
                <w:lang w:val="uk-UA"/>
              </w:rPr>
            </w:pPr>
            <w:r w:rsidRPr="006C3541">
              <w:rPr>
                <w:rFonts w:ascii="Bookman Old Style" w:hAnsi="Bookman Old Style"/>
                <w:b/>
                <w:i/>
                <w:color w:val="000000"/>
                <w:shd w:val="clear" w:color="auto" w:fill="FFFFFF"/>
                <w:lang w:val="uk-UA"/>
              </w:rPr>
              <w:t>Попереднє визначення суми судових витрат (Новела в ЦПК І ГПК)</w:t>
            </w:r>
          </w:p>
        </w:tc>
        <w:tc>
          <w:tcPr>
            <w:tcW w:w="13040" w:type="dxa"/>
            <w:gridSpan w:val="2"/>
          </w:tcPr>
          <w:p w:rsidR="006C3541" w:rsidRPr="006C3541" w:rsidRDefault="006C3541" w:rsidP="006C3541">
            <w:pPr>
              <w:ind w:firstLine="284"/>
              <w:rPr>
                <w:rFonts w:ascii="Bookman Old Style" w:hAnsi="Bookman Old Style" w:cs="Times New Roman"/>
                <w:sz w:val="20"/>
                <w:lang w:val="uk-UA"/>
              </w:rPr>
            </w:pPr>
            <w:r w:rsidRPr="006C3541">
              <w:rPr>
                <w:sz w:val="20"/>
                <w:lang w:val="uk-UA"/>
              </w:rPr>
              <w:t>1.</w:t>
            </w:r>
            <w:r w:rsidRPr="006C3541">
              <w:rPr>
                <w:rFonts w:ascii="Bookman Old Style" w:hAnsi="Bookman Old Style" w:cs="Times New Roman"/>
                <w:sz w:val="20"/>
                <w:lang w:val="uk-UA"/>
              </w:rPr>
              <w:t>Разом з першою заявою по суті спору кожна сторона подає до суду попередній (орієнтовний) розрахунок суми судових витрат, які вона понесла і які очікує понести у зв’язку із розглядом справи.</w:t>
            </w:r>
          </w:p>
          <w:p w:rsidR="006C3541" w:rsidRPr="006C3541" w:rsidRDefault="006C3541" w:rsidP="006C3541">
            <w:pPr>
              <w:ind w:firstLine="284"/>
              <w:rPr>
                <w:rFonts w:ascii="Bookman Old Style" w:hAnsi="Bookman Old Style" w:cs="Times New Roman"/>
                <w:sz w:val="20"/>
                <w:lang w:val="uk-UA"/>
              </w:rPr>
            </w:pPr>
            <w:bookmarkStart w:id="1" w:name="n2380"/>
            <w:bookmarkEnd w:id="1"/>
            <w:r w:rsidRPr="006C3541">
              <w:rPr>
                <w:rFonts w:ascii="Bookman Old Style" w:hAnsi="Bookman Old Style" w:cs="Times New Roman"/>
                <w:sz w:val="20"/>
                <w:lang w:val="uk-UA"/>
              </w:rPr>
              <w:t>2. У разі неподання стороною попереднього розрахунку суми судових витрат, суд може відмовити їй у відшкодуванні відповідних судових витрат, за винятком суми сплаченого нею судового збору.</w:t>
            </w:r>
          </w:p>
          <w:p w:rsidR="006C3541" w:rsidRPr="006C3541" w:rsidRDefault="006C3541" w:rsidP="006C3541">
            <w:pPr>
              <w:ind w:firstLine="284"/>
              <w:rPr>
                <w:rFonts w:ascii="Bookman Old Style" w:hAnsi="Bookman Old Style" w:cs="Times New Roman"/>
                <w:lang w:val="uk-UA"/>
              </w:rPr>
            </w:pPr>
            <w:bookmarkStart w:id="2" w:name="n2381"/>
            <w:bookmarkEnd w:id="2"/>
            <w:r w:rsidRPr="006C3541">
              <w:rPr>
                <w:rFonts w:ascii="Bookman Old Style" w:hAnsi="Bookman Old Style" w:cs="Times New Roman"/>
                <w:sz w:val="20"/>
                <w:lang w:val="uk-UA"/>
              </w:rPr>
              <w:t>3. Попередній розрахунок розміру судових витрат не обмежує сторону у доведенні іншої фактичної суми судових витрат, які підлягають розподілу між сторонами за результатами розгляду справи</w:t>
            </w:r>
            <w:bookmarkStart w:id="3" w:name="n2382"/>
            <w:bookmarkEnd w:id="3"/>
            <w:r w:rsidRPr="006C3541">
              <w:rPr>
                <w:rFonts w:ascii="Bookman Old Style" w:hAnsi="Bookman Old Style" w:cs="Times New Roman"/>
                <w:sz w:val="20"/>
                <w:lang w:val="uk-UA"/>
              </w:rPr>
              <w:t>.</w:t>
            </w:r>
          </w:p>
        </w:tc>
      </w:tr>
      <w:tr w:rsidR="006C3541" w:rsidRPr="00CA503F" w:rsidTr="006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58"/>
        </w:trPr>
        <w:tc>
          <w:tcPr>
            <w:tcW w:w="1986" w:type="dxa"/>
            <w:gridSpan w:val="2"/>
          </w:tcPr>
          <w:p w:rsidR="006C3541" w:rsidRPr="006C3541" w:rsidRDefault="00717E17" w:rsidP="006C3541">
            <w:pPr>
              <w:jc w:val="center"/>
              <w:rPr>
                <w:rFonts w:ascii="Bookman Old Style" w:hAnsi="Bookman Old Style"/>
                <w:b/>
                <w:i/>
                <w:color w:val="000000"/>
                <w:shd w:val="clear" w:color="auto" w:fill="FFFFFF"/>
                <w:lang w:val="uk-UA"/>
              </w:rPr>
            </w:pPr>
            <w:r w:rsidRPr="00717E17">
              <w:rPr>
                <w:rFonts w:ascii="Bookman Old Style" w:hAnsi="Bookman Old Style"/>
                <w:b/>
                <w:i/>
                <w:color w:val="000000"/>
                <w:u w:val="single"/>
                <w:shd w:val="clear" w:color="auto" w:fill="FFFFFF"/>
                <w:lang w:val="uk-UA"/>
              </w:rPr>
              <w:t>Забезпечення</w:t>
            </w:r>
            <w:r w:rsidRPr="00717E17">
              <w:rPr>
                <w:rFonts w:ascii="Bookman Old Style" w:hAnsi="Bookman Old Style"/>
                <w:b/>
                <w:i/>
                <w:color w:val="000000"/>
                <w:shd w:val="clear" w:color="auto" w:fill="FFFFFF"/>
                <w:vertAlign w:val="superscript"/>
                <w:lang w:val="uk-UA"/>
              </w:rPr>
              <w:t>1</w:t>
            </w:r>
            <w:r>
              <w:rPr>
                <w:rFonts w:ascii="Bookman Old Style" w:hAnsi="Bookman Old Style"/>
                <w:b/>
                <w:i/>
                <w:color w:val="000000"/>
                <w:shd w:val="clear" w:color="auto" w:fill="FFFFFF"/>
                <w:lang w:val="uk-UA"/>
              </w:rPr>
              <w:t xml:space="preserve"> та попередня оплата судових витрат</w:t>
            </w:r>
          </w:p>
        </w:tc>
        <w:tc>
          <w:tcPr>
            <w:tcW w:w="13040" w:type="dxa"/>
            <w:gridSpan w:val="2"/>
          </w:tcPr>
          <w:p w:rsidR="00717E17" w:rsidRPr="00717E17" w:rsidRDefault="00717E17" w:rsidP="00717E17">
            <w:pPr>
              <w:pStyle w:val="a3"/>
              <w:numPr>
                <w:ilvl w:val="0"/>
                <w:numId w:val="4"/>
              </w:numPr>
              <w:ind w:left="0" w:firstLine="357"/>
              <w:rPr>
                <w:rFonts w:ascii="Bookman Old Style" w:hAnsi="Bookman Old Style"/>
                <w:i/>
                <w:sz w:val="20"/>
                <w:u w:val="single"/>
                <w:lang w:val="uk-UA"/>
              </w:rPr>
            </w:pPr>
            <w:r w:rsidRPr="00717E17">
              <w:rPr>
                <w:rFonts w:ascii="Bookman Old Style" w:hAnsi="Bookman Old Style"/>
                <w:i/>
                <w:sz w:val="20"/>
                <w:u w:val="single"/>
                <w:lang w:val="uk-UA"/>
              </w:rPr>
              <w:t>Суд може зобов’язати сторони внести на депозитний рахунок суду попередньо визначену суму судових витрат, пов’язаних з розглядом справи або певною процесуальною дією.</w:t>
            </w:r>
            <w:r>
              <w:rPr>
                <w:rFonts w:ascii="Bookman Old Style" w:hAnsi="Bookman Old Style"/>
                <w:i/>
                <w:sz w:val="20"/>
                <w:u w:val="single"/>
                <w:vertAlign w:val="superscript"/>
                <w:lang w:val="uk-UA"/>
              </w:rPr>
              <w:t>1</w:t>
            </w:r>
          </w:p>
          <w:p w:rsidR="00717E17" w:rsidRPr="00717E17" w:rsidRDefault="00717E17" w:rsidP="00717E17">
            <w:pPr>
              <w:pStyle w:val="a3"/>
              <w:numPr>
                <w:ilvl w:val="0"/>
                <w:numId w:val="4"/>
              </w:numPr>
              <w:ind w:left="0" w:firstLine="357"/>
              <w:rPr>
                <w:rFonts w:ascii="Bookman Old Style" w:hAnsi="Bookman Old Style"/>
                <w:sz w:val="20"/>
                <w:lang w:val="uk-UA"/>
              </w:rPr>
            </w:pPr>
            <w:bookmarkStart w:id="4" w:name="n6963"/>
            <w:bookmarkEnd w:id="4"/>
            <w:r w:rsidRPr="00717E17">
              <w:rPr>
                <w:rFonts w:ascii="Bookman Old Style" w:hAnsi="Bookman Old Style"/>
                <w:sz w:val="20"/>
                <w:lang w:val="uk-UA"/>
              </w:rPr>
              <w:t>Суд може зобов’язати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пов’язані з відповідною процесуальною дією.</w:t>
            </w:r>
          </w:p>
          <w:p w:rsidR="00257D29" w:rsidRDefault="00717E17" w:rsidP="00257D29">
            <w:pPr>
              <w:pStyle w:val="a3"/>
              <w:numPr>
                <w:ilvl w:val="0"/>
                <w:numId w:val="4"/>
              </w:numPr>
              <w:ind w:left="0" w:firstLine="357"/>
              <w:rPr>
                <w:rFonts w:ascii="Bookman Old Style" w:hAnsi="Bookman Old Style"/>
                <w:sz w:val="20"/>
                <w:lang w:val="uk-UA"/>
              </w:rPr>
            </w:pPr>
            <w:bookmarkStart w:id="5" w:name="n6964"/>
            <w:bookmarkEnd w:id="5"/>
            <w:r w:rsidRPr="00717E17">
              <w:rPr>
                <w:rFonts w:ascii="Bookman Old Style" w:hAnsi="Bookman Old Style"/>
                <w:sz w:val="20"/>
                <w:lang w:val="uk-UA"/>
              </w:rPr>
              <w:t>Якщо клопотання заявили декілька учасників справи, необхідну грошову суму авансом у рівних частках сплачують відповідні учасники справи, а у випадках, коли відповідна процесуальна дія здійснюється з ініціативи суду, - сторони в рівних частках.</w:t>
            </w:r>
          </w:p>
          <w:p w:rsidR="00257D29" w:rsidRPr="00257D29" w:rsidRDefault="00257D29" w:rsidP="00257D29">
            <w:pPr>
              <w:pStyle w:val="a3"/>
              <w:numPr>
                <w:ilvl w:val="0"/>
                <w:numId w:val="4"/>
              </w:numPr>
              <w:ind w:left="0" w:firstLine="357"/>
              <w:rPr>
                <w:rFonts w:ascii="Bookman Old Style" w:hAnsi="Bookman Old Style"/>
                <w:sz w:val="20"/>
                <w:u w:val="single"/>
                <w:lang w:val="uk-UA"/>
              </w:rPr>
            </w:pPr>
            <w:r w:rsidRPr="00257D29">
              <w:rPr>
                <w:rFonts w:ascii="Bookman Old Style" w:hAnsi="Bookman Old Style"/>
                <w:sz w:val="20"/>
                <w:u w:val="single"/>
                <w:lang w:val="uk-UA"/>
              </w:rPr>
              <w:t>Як захід забезпечення судових витрат суд з урахуванням конкретних обставин справи</w:t>
            </w:r>
            <w:r>
              <w:rPr>
                <w:rFonts w:ascii="Bookman Old Style" w:hAnsi="Bookman Old Style"/>
                <w:sz w:val="20"/>
                <w:u w:val="single"/>
                <w:lang w:val="uk-UA"/>
              </w:rPr>
              <w:t xml:space="preserve"> (наприклад, якщо позов має ознаки завідомо безпідставного)</w:t>
            </w:r>
            <w:r w:rsidRPr="00257D29">
              <w:rPr>
                <w:rFonts w:ascii="Bookman Old Style" w:hAnsi="Bookman Old Style"/>
                <w:sz w:val="20"/>
                <w:u w:val="single"/>
                <w:lang w:val="uk-UA"/>
              </w:rPr>
              <w:t xml:space="preserve"> має право, за клопотанням відповідача, зобов’язати позивача внести на депозитний рахунок суду грошову суму для забезпечення можливого відшкодування майбутніх витрат відповідача на професійну правничу допомогу та інших витрат, які має понести відповідач у зв’язку із розглядом справи (забезпечення витрат на професійну правничу допомогу).</w:t>
            </w:r>
            <w:r>
              <w:rPr>
                <w:rFonts w:ascii="Bookman Old Style" w:hAnsi="Bookman Old Style"/>
                <w:sz w:val="20"/>
                <w:vertAlign w:val="superscript"/>
                <w:lang w:val="uk-UA"/>
              </w:rPr>
              <w:t>1</w:t>
            </w:r>
          </w:p>
        </w:tc>
      </w:tr>
    </w:tbl>
    <w:p w:rsidR="004E7465" w:rsidRPr="00717E17" w:rsidRDefault="00717E17">
      <w:pPr>
        <w:rPr>
          <w:rFonts w:ascii="Bookman Old Style" w:hAnsi="Bookman Old Style"/>
          <w:lang w:val="uk-UA"/>
        </w:rPr>
      </w:pPr>
      <w:r w:rsidRPr="00717E17">
        <w:rPr>
          <w:rFonts w:ascii="Bookman Old Style" w:hAnsi="Bookman Old Style"/>
          <w:vertAlign w:val="superscript"/>
          <w:lang w:val="uk-UA"/>
        </w:rPr>
        <w:t xml:space="preserve">1 </w:t>
      </w:r>
      <w:r w:rsidRPr="00717E17">
        <w:rPr>
          <w:rFonts w:ascii="Bookman Old Style" w:hAnsi="Bookman Old Style"/>
          <w:lang w:val="uk-UA"/>
        </w:rPr>
        <w:t>Інститут забезпечення судових витрат наявний</w:t>
      </w:r>
      <w:r>
        <w:rPr>
          <w:rFonts w:ascii="Bookman Old Style" w:hAnsi="Bookman Old Style"/>
          <w:lang w:val="uk-UA"/>
        </w:rPr>
        <w:t xml:space="preserve"> лише</w:t>
      </w:r>
      <w:r w:rsidRPr="00717E17">
        <w:rPr>
          <w:rFonts w:ascii="Bookman Old Style" w:hAnsi="Bookman Old Style"/>
          <w:lang w:val="uk-UA"/>
        </w:rPr>
        <w:t xml:space="preserve"> в ГПК та ЦПК</w:t>
      </w:r>
    </w:p>
    <w:sectPr w:rsidR="004E7465" w:rsidRPr="00717E17" w:rsidSect="006C3541">
      <w:headerReference w:type="even" r:id="rId7"/>
      <w:headerReference w:type="default" r:id="rId8"/>
      <w:footerReference w:type="even" r:id="rId9"/>
      <w:footerReference w:type="default" r:id="rId10"/>
      <w:headerReference w:type="first" r:id="rId11"/>
      <w:footerReference w:type="first" r:id="rId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FC" w:rsidRDefault="002377FC" w:rsidP="006C3541">
      <w:pPr>
        <w:spacing w:after="0" w:line="240" w:lineRule="auto"/>
      </w:pPr>
      <w:r>
        <w:separator/>
      </w:r>
    </w:p>
  </w:endnote>
  <w:endnote w:type="continuationSeparator" w:id="0">
    <w:p w:rsidR="002377FC" w:rsidRDefault="002377FC" w:rsidP="006C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Default="006C354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Default="006C354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Default="006C35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FC" w:rsidRDefault="002377FC" w:rsidP="006C3541">
      <w:pPr>
        <w:spacing w:after="0" w:line="240" w:lineRule="auto"/>
      </w:pPr>
      <w:r>
        <w:separator/>
      </w:r>
    </w:p>
  </w:footnote>
  <w:footnote w:type="continuationSeparator" w:id="0">
    <w:p w:rsidR="002377FC" w:rsidRDefault="002377FC" w:rsidP="006C3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Default="006C35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Pr="006C3541" w:rsidRDefault="006C3541" w:rsidP="00CA503F">
    <w:pPr>
      <w:pStyle w:val="a5"/>
      <w:jc w:val="right"/>
      <w:rPr>
        <w:rFonts w:ascii="Bookman Old Style" w:hAnsi="Bookman Old Style"/>
        <w:lang w:val="uk-UA"/>
      </w:rPr>
    </w:pPr>
    <w:r>
      <w:rPr>
        <w:rFonts w:ascii="Bookman Old Style" w:hAnsi="Bookman Old Style"/>
        <w:lang w:val="uk-UA"/>
      </w:rPr>
      <w:t>Головні зміни ЦПК, ГПК і КАСУ</w:t>
    </w:r>
    <w:r w:rsidRPr="00744CBC">
      <w:rPr>
        <w:rFonts w:ascii="Bookman Old Style" w:hAnsi="Bookman Old Style"/>
        <w:lang w:val="uk-UA"/>
      </w:rPr>
      <w:t xml:space="preserve"> в таблицях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41" w:rsidRDefault="006C35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EA0"/>
    <w:multiLevelType w:val="hybridMultilevel"/>
    <w:tmpl w:val="7788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DF094D"/>
    <w:multiLevelType w:val="hybridMultilevel"/>
    <w:tmpl w:val="7C065ED4"/>
    <w:lvl w:ilvl="0" w:tplc="7786DD98">
      <w:start w:val="1"/>
      <w:numFmt w:val="decimal"/>
      <w:lvlText w:val="%1)"/>
      <w:lvlJc w:val="left"/>
      <w:pPr>
        <w:ind w:left="1211" w:hanging="360"/>
      </w:pPr>
      <w:rPr>
        <w:rFonts w:ascii="Bookman Old Style" w:hAnsi="Bookman Old Style" w:hint="default"/>
        <w:sz w:val="20"/>
        <w:szCs w:val="20"/>
      </w:rPr>
    </w:lvl>
    <w:lvl w:ilvl="1" w:tplc="04190019">
      <w:start w:val="1"/>
      <w:numFmt w:val="decimal"/>
      <w:lvlText w:val="%2."/>
      <w:lvlJc w:val="left"/>
      <w:pPr>
        <w:tabs>
          <w:tab w:val="num" w:pos="-2671"/>
        </w:tabs>
        <w:ind w:left="-2671" w:hanging="360"/>
      </w:pPr>
    </w:lvl>
    <w:lvl w:ilvl="2" w:tplc="0419001B">
      <w:start w:val="1"/>
      <w:numFmt w:val="decimal"/>
      <w:lvlText w:val="%3."/>
      <w:lvlJc w:val="left"/>
      <w:pPr>
        <w:tabs>
          <w:tab w:val="num" w:pos="-1951"/>
        </w:tabs>
        <w:ind w:left="-1951" w:hanging="360"/>
      </w:pPr>
    </w:lvl>
    <w:lvl w:ilvl="3" w:tplc="0419000F">
      <w:start w:val="1"/>
      <w:numFmt w:val="decimal"/>
      <w:lvlText w:val="%4."/>
      <w:lvlJc w:val="left"/>
      <w:pPr>
        <w:tabs>
          <w:tab w:val="num" w:pos="-1231"/>
        </w:tabs>
        <w:ind w:left="-1231" w:hanging="360"/>
      </w:pPr>
    </w:lvl>
    <w:lvl w:ilvl="4" w:tplc="04190019">
      <w:start w:val="1"/>
      <w:numFmt w:val="decimal"/>
      <w:lvlText w:val="%5."/>
      <w:lvlJc w:val="left"/>
      <w:pPr>
        <w:tabs>
          <w:tab w:val="num" w:pos="-511"/>
        </w:tabs>
        <w:ind w:left="-511" w:hanging="360"/>
      </w:pPr>
    </w:lvl>
    <w:lvl w:ilvl="5" w:tplc="0419001B">
      <w:start w:val="1"/>
      <w:numFmt w:val="decimal"/>
      <w:lvlText w:val="%6."/>
      <w:lvlJc w:val="left"/>
      <w:pPr>
        <w:tabs>
          <w:tab w:val="num" w:pos="209"/>
        </w:tabs>
        <w:ind w:left="209" w:hanging="360"/>
      </w:pPr>
    </w:lvl>
    <w:lvl w:ilvl="6" w:tplc="0419000F">
      <w:start w:val="1"/>
      <w:numFmt w:val="decimal"/>
      <w:lvlText w:val="%7."/>
      <w:lvlJc w:val="left"/>
      <w:pPr>
        <w:tabs>
          <w:tab w:val="num" w:pos="929"/>
        </w:tabs>
        <w:ind w:left="929" w:hanging="360"/>
      </w:pPr>
    </w:lvl>
    <w:lvl w:ilvl="7" w:tplc="04190019">
      <w:start w:val="1"/>
      <w:numFmt w:val="decimal"/>
      <w:lvlText w:val="%8."/>
      <w:lvlJc w:val="left"/>
      <w:pPr>
        <w:tabs>
          <w:tab w:val="num" w:pos="1649"/>
        </w:tabs>
        <w:ind w:left="1649" w:hanging="360"/>
      </w:pPr>
    </w:lvl>
    <w:lvl w:ilvl="8" w:tplc="0419001B">
      <w:start w:val="1"/>
      <w:numFmt w:val="decimal"/>
      <w:lvlText w:val="%9."/>
      <w:lvlJc w:val="left"/>
      <w:pPr>
        <w:tabs>
          <w:tab w:val="num" w:pos="2369"/>
        </w:tabs>
        <w:ind w:left="2369" w:hanging="360"/>
      </w:pPr>
    </w:lvl>
  </w:abstractNum>
  <w:abstractNum w:abstractNumId="2">
    <w:nsid w:val="669C3C69"/>
    <w:multiLevelType w:val="hybridMultilevel"/>
    <w:tmpl w:val="9C923640"/>
    <w:lvl w:ilvl="0" w:tplc="0419000F">
      <w:start w:val="1"/>
      <w:numFmt w:val="decimal"/>
      <w:lvlText w:val="%1."/>
      <w:lvlJc w:val="left"/>
      <w:pPr>
        <w:ind w:left="720" w:hanging="360"/>
      </w:pPr>
    </w:lvl>
    <w:lvl w:ilvl="1" w:tplc="A5B0EF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0FE0"/>
    <w:rsid w:val="001969BB"/>
    <w:rsid w:val="001A6FB7"/>
    <w:rsid w:val="002377FC"/>
    <w:rsid w:val="00257D29"/>
    <w:rsid w:val="004664C1"/>
    <w:rsid w:val="004E7465"/>
    <w:rsid w:val="005075CE"/>
    <w:rsid w:val="00663BF7"/>
    <w:rsid w:val="006C3541"/>
    <w:rsid w:val="006C5E95"/>
    <w:rsid w:val="006E30B8"/>
    <w:rsid w:val="00717E17"/>
    <w:rsid w:val="008A6461"/>
    <w:rsid w:val="00A049CB"/>
    <w:rsid w:val="00A50AF2"/>
    <w:rsid w:val="00AB0B29"/>
    <w:rsid w:val="00AD253F"/>
    <w:rsid w:val="00CA503F"/>
    <w:rsid w:val="00D2476B"/>
    <w:rsid w:val="00D35CD6"/>
    <w:rsid w:val="00D70131"/>
    <w:rsid w:val="00FE0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E0"/>
    <w:pPr>
      <w:ind w:left="720"/>
      <w:contextualSpacing/>
    </w:pPr>
  </w:style>
  <w:style w:type="table" w:styleId="a4">
    <w:name w:val="Table Grid"/>
    <w:basedOn w:val="a1"/>
    <w:uiPriority w:val="59"/>
    <w:rsid w:val="00FE0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FE0FE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C35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3541"/>
    <w:rPr>
      <w:rFonts w:eastAsiaTheme="minorEastAsia"/>
      <w:lang w:eastAsia="ru-RU"/>
    </w:rPr>
  </w:style>
  <w:style w:type="paragraph" w:styleId="a7">
    <w:name w:val="footer"/>
    <w:basedOn w:val="a"/>
    <w:link w:val="a8"/>
    <w:uiPriority w:val="99"/>
    <w:semiHidden/>
    <w:unhideWhenUsed/>
    <w:rsid w:val="006C35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C3541"/>
    <w:rPr>
      <w:rFonts w:eastAsiaTheme="minorEastAsia"/>
      <w:lang w:eastAsia="ru-RU"/>
    </w:rPr>
  </w:style>
  <w:style w:type="character" w:styleId="a9">
    <w:name w:val="annotation reference"/>
    <w:basedOn w:val="a0"/>
    <w:uiPriority w:val="99"/>
    <w:semiHidden/>
    <w:unhideWhenUsed/>
    <w:rsid w:val="005075CE"/>
    <w:rPr>
      <w:sz w:val="16"/>
      <w:szCs w:val="16"/>
    </w:rPr>
  </w:style>
  <w:style w:type="paragraph" w:styleId="aa">
    <w:name w:val="annotation text"/>
    <w:basedOn w:val="a"/>
    <w:link w:val="ab"/>
    <w:uiPriority w:val="99"/>
    <w:semiHidden/>
    <w:unhideWhenUsed/>
    <w:rsid w:val="005075CE"/>
    <w:pPr>
      <w:spacing w:line="240" w:lineRule="auto"/>
    </w:pPr>
    <w:rPr>
      <w:sz w:val="20"/>
      <w:szCs w:val="20"/>
    </w:rPr>
  </w:style>
  <w:style w:type="character" w:customStyle="1" w:styleId="ab">
    <w:name w:val="Текст примечания Знак"/>
    <w:basedOn w:val="a0"/>
    <w:link w:val="aa"/>
    <w:uiPriority w:val="99"/>
    <w:semiHidden/>
    <w:rsid w:val="005075CE"/>
    <w:rPr>
      <w:rFonts w:eastAsiaTheme="minorEastAsia"/>
      <w:sz w:val="20"/>
      <w:szCs w:val="20"/>
      <w:lang w:eastAsia="ru-RU"/>
    </w:rPr>
  </w:style>
  <w:style w:type="paragraph" w:styleId="ac">
    <w:name w:val="annotation subject"/>
    <w:basedOn w:val="aa"/>
    <w:next w:val="aa"/>
    <w:link w:val="ad"/>
    <w:uiPriority w:val="99"/>
    <w:semiHidden/>
    <w:unhideWhenUsed/>
    <w:rsid w:val="005075CE"/>
    <w:rPr>
      <w:b/>
      <w:bCs/>
    </w:rPr>
  </w:style>
  <w:style w:type="character" w:customStyle="1" w:styleId="ad">
    <w:name w:val="Тема примечания Знак"/>
    <w:basedOn w:val="ab"/>
    <w:link w:val="ac"/>
    <w:uiPriority w:val="99"/>
    <w:semiHidden/>
    <w:rsid w:val="005075CE"/>
    <w:rPr>
      <w:rFonts w:eastAsiaTheme="minorEastAsia"/>
      <w:b/>
      <w:bCs/>
      <w:sz w:val="20"/>
      <w:szCs w:val="20"/>
      <w:lang w:eastAsia="ru-RU"/>
    </w:rPr>
  </w:style>
  <w:style w:type="paragraph" w:styleId="ae">
    <w:name w:val="Balloon Text"/>
    <w:basedOn w:val="a"/>
    <w:link w:val="af"/>
    <w:uiPriority w:val="99"/>
    <w:semiHidden/>
    <w:unhideWhenUsed/>
    <w:rsid w:val="005075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75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119879">
      <w:bodyDiv w:val="1"/>
      <w:marLeft w:val="0"/>
      <w:marRight w:val="0"/>
      <w:marTop w:val="0"/>
      <w:marBottom w:val="0"/>
      <w:divBdr>
        <w:top w:val="none" w:sz="0" w:space="0" w:color="auto"/>
        <w:left w:val="none" w:sz="0" w:space="0" w:color="auto"/>
        <w:bottom w:val="none" w:sz="0" w:space="0" w:color="auto"/>
        <w:right w:val="none" w:sz="0" w:space="0" w:color="auto"/>
      </w:divBdr>
    </w:div>
    <w:div w:id="251549296">
      <w:bodyDiv w:val="1"/>
      <w:marLeft w:val="0"/>
      <w:marRight w:val="0"/>
      <w:marTop w:val="0"/>
      <w:marBottom w:val="0"/>
      <w:divBdr>
        <w:top w:val="none" w:sz="0" w:space="0" w:color="auto"/>
        <w:left w:val="none" w:sz="0" w:space="0" w:color="auto"/>
        <w:bottom w:val="none" w:sz="0" w:space="0" w:color="auto"/>
        <w:right w:val="none" w:sz="0" w:space="0" w:color="auto"/>
      </w:divBdr>
    </w:div>
    <w:div w:id="444270029">
      <w:bodyDiv w:val="1"/>
      <w:marLeft w:val="0"/>
      <w:marRight w:val="0"/>
      <w:marTop w:val="0"/>
      <w:marBottom w:val="0"/>
      <w:divBdr>
        <w:top w:val="none" w:sz="0" w:space="0" w:color="auto"/>
        <w:left w:val="none" w:sz="0" w:space="0" w:color="auto"/>
        <w:bottom w:val="none" w:sz="0" w:space="0" w:color="auto"/>
        <w:right w:val="none" w:sz="0" w:space="0" w:color="auto"/>
      </w:divBdr>
    </w:div>
    <w:div w:id="578369026">
      <w:bodyDiv w:val="1"/>
      <w:marLeft w:val="0"/>
      <w:marRight w:val="0"/>
      <w:marTop w:val="0"/>
      <w:marBottom w:val="0"/>
      <w:divBdr>
        <w:top w:val="none" w:sz="0" w:space="0" w:color="auto"/>
        <w:left w:val="none" w:sz="0" w:space="0" w:color="auto"/>
        <w:bottom w:val="none" w:sz="0" w:space="0" w:color="auto"/>
        <w:right w:val="none" w:sz="0" w:space="0" w:color="auto"/>
      </w:divBdr>
    </w:div>
    <w:div w:id="735973166">
      <w:bodyDiv w:val="1"/>
      <w:marLeft w:val="0"/>
      <w:marRight w:val="0"/>
      <w:marTop w:val="0"/>
      <w:marBottom w:val="0"/>
      <w:divBdr>
        <w:top w:val="none" w:sz="0" w:space="0" w:color="auto"/>
        <w:left w:val="none" w:sz="0" w:space="0" w:color="auto"/>
        <w:bottom w:val="none" w:sz="0" w:space="0" w:color="auto"/>
        <w:right w:val="none" w:sz="0" w:space="0" w:color="auto"/>
      </w:divBdr>
    </w:div>
    <w:div w:id="763384526">
      <w:bodyDiv w:val="1"/>
      <w:marLeft w:val="0"/>
      <w:marRight w:val="0"/>
      <w:marTop w:val="0"/>
      <w:marBottom w:val="0"/>
      <w:divBdr>
        <w:top w:val="none" w:sz="0" w:space="0" w:color="auto"/>
        <w:left w:val="none" w:sz="0" w:space="0" w:color="auto"/>
        <w:bottom w:val="none" w:sz="0" w:space="0" w:color="auto"/>
        <w:right w:val="none" w:sz="0" w:space="0" w:color="auto"/>
      </w:divBdr>
    </w:div>
    <w:div w:id="1039823093">
      <w:bodyDiv w:val="1"/>
      <w:marLeft w:val="0"/>
      <w:marRight w:val="0"/>
      <w:marTop w:val="0"/>
      <w:marBottom w:val="0"/>
      <w:divBdr>
        <w:top w:val="none" w:sz="0" w:space="0" w:color="auto"/>
        <w:left w:val="none" w:sz="0" w:space="0" w:color="auto"/>
        <w:bottom w:val="none" w:sz="0" w:space="0" w:color="auto"/>
        <w:right w:val="none" w:sz="0" w:space="0" w:color="auto"/>
      </w:divBdr>
    </w:div>
    <w:div w:id="1061945991">
      <w:bodyDiv w:val="1"/>
      <w:marLeft w:val="0"/>
      <w:marRight w:val="0"/>
      <w:marTop w:val="0"/>
      <w:marBottom w:val="0"/>
      <w:divBdr>
        <w:top w:val="none" w:sz="0" w:space="0" w:color="auto"/>
        <w:left w:val="none" w:sz="0" w:space="0" w:color="auto"/>
        <w:bottom w:val="none" w:sz="0" w:space="0" w:color="auto"/>
        <w:right w:val="none" w:sz="0" w:space="0" w:color="auto"/>
      </w:divBdr>
    </w:div>
    <w:div w:id="1315141310">
      <w:bodyDiv w:val="1"/>
      <w:marLeft w:val="0"/>
      <w:marRight w:val="0"/>
      <w:marTop w:val="0"/>
      <w:marBottom w:val="0"/>
      <w:divBdr>
        <w:top w:val="none" w:sz="0" w:space="0" w:color="auto"/>
        <w:left w:val="none" w:sz="0" w:space="0" w:color="auto"/>
        <w:bottom w:val="none" w:sz="0" w:space="0" w:color="auto"/>
        <w:right w:val="none" w:sz="0" w:space="0" w:color="auto"/>
      </w:divBdr>
    </w:div>
    <w:div w:id="1375960475">
      <w:bodyDiv w:val="1"/>
      <w:marLeft w:val="0"/>
      <w:marRight w:val="0"/>
      <w:marTop w:val="0"/>
      <w:marBottom w:val="0"/>
      <w:divBdr>
        <w:top w:val="none" w:sz="0" w:space="0" w:color="auto"/>
        <w:left w:val="none" w:sz="0" w:space="0" w:color="auto"/>
        <w:bottom w:val="none" w:sz="0" w:space="0" w:color="auto"/>
        <w:right w:val="none" w:sz="0" w:space="0" w:color="auto"/>
      </w:divBdr>
    </w:div>
    <w:div w:id="1622808707">
      <w:bodyDiv w:val="1"/>
      <w:marLeft w:val="0"/>
      <w:marRight w:val="0"/>
      <w:marTop w:val="0"/>
      <w:marBottom w:val="0"/>
      <w:divBdr>
        <w:top w:val="none" w:sz="0" w:space="0" w:color="auto"/>
        <w:left w:val="none" w:sz="0" w:space="0" w:color="auto"/>
        <w:bottom w:val="none" w:sz="0" w:space="0" w:color="auto"/>
        <w:right w:val="none" w:sz="0" w:space="0" w:color="auto"/>
      </w:divBdr>
    </w:div>
    <w:div w:id="1744914050">
      <w:bodyDiv w:val="1"/>
      <w:marLeft w:val="0"/>
      <w:marRight w:val="0"/>
      <w:marTop w:val="0"/>
      <w:marBottom w:val="0"/>
      <w:divBdr>
        <w:top w:val="none" w:sz="0" w:space="0" w:color="auto"/>
        <w:left w:val="none" w:sz="0" w:space="0" w:color="auto"/>
        <w:bottom w:val="none" w:sz="0" w:space="0" w:color="auto"/>
        <w:right w:val="none" w:sz="0" w:space="0" w:color="auto"/>
      </w:divBdr>
    </w:div>
    <w:div w:id="1975062302">
      <w:bodyDiv w:val="1"/>
      <w:marLeft w:val="0"/>
      <w:marRight w:val="0"/>
      <w:marTop w:val="0"/>
      <w:marBottom w:val="0"/>
      <w:divBdr>
        <w:top w:val="none" w:sz="0" w:space="0" w:color="auto"/>
        <w:left w:val="none" w:sz="0" w:space="0" w:color="auto"/>
        <w:bottom w:val="none" w:sz="0" w:space="0" w:color="auto"/>
        <w:right w:val="none" w:sz="0" w:space="0" w:color="auto"/>
      </w:divBdr>
    </w:div>
    <w:div w:id="20504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2668</Characters>
  <Application>Microsoft Office Word</Application>
  <DocSecurity>0</DocSecurity>
  <Lines>50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Evgeniy</cp:lastModifiedBy>
  <cp:revision>6</cp:revision>
  <dcterms:created xsi:type="dcterms:W3CDTF">2018-01-09T14:33:00Z</dcterms:created>
  <dcterms:modified xsi:type="dcterms:W3CDTF">2018-01-28T18:59:00Z</dcterms:modified>
</cp:coreProperties>
</file>