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33"/>
        <w:tblW w:w="15559" w:type="dxa"/>
        <w:tblLook w:val="0000"/>
      </w:tblPr>
      <w:tblGrid>
        <w:gridCol w:w="2376"/>
        <w:gridCol w:w="5670"/>
        <w:gridCol w:w="3348"/>
        <w:gridCol w:w="4165"/>
      </w:tblGrid>
      <w:tr w:rsidR="008512C9" w:rsidRPr="00C228C7" w:rsidTr="00411C4F">
        <w:trPr>
          <w:trHeight w:val="271"/>
        </w:trPr>
        <w:tc>
          <w:tcPr>
            <w:tcW w:w="15559" w:type="dxa"/>
            <w:gridSpan w:val="4"/>
          </w:tcPr>
          <w:p w:rsidR="00DB2CEF" w:rsidRDefault="00D87417" w:rsidP="00411C4F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ЗАГАЛЬНІ </w:t>
            </w:r>
            <w:r w:rsidR="00DB2C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ПОЛОЖЕННЯ:</w:t>
            </w:r>
          </w:p>
          <w:p w:rsidR="008512C9" w:rsidRPr="0056621A" w:rsidRDefault="00DB2CEF" w:rsidP="00411C4F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д</w:t>
            </w:r>
            <w:r w:rsidR="008512C9" w:rsidRPr="0056621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окази</w:t>
            </w:r>
            <w:r w:rsidR="00F94926" w:rsidRPr="0056621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та доказування</w:t>
            </w:r>
          </w:p>
        </w:tc>
      </w:tr>
      <w:tr w:rsidR="00D05779" w:rsidRPr="00C228C7" w:rsidTr="00411C4F">
        <w:tblPrEx>
          <w:tblLook w:val="04A0"/>
        </w:tblPrEx>
        <w:trPr>
          <w:trHeight w:val="218"/>
        </w:trPr>
        <w:tc>
          <w:tcPr>
            <w:tcW w:w="2376" w:type="dxa"/>
          </w:tcPr>
          <w:p w:rsidR="00D05779" w:rsidRPr="00C228C7" w:rsidRDefault="00D05779" w:rsidP="00411C4F">
            <w:pPr>
              <w:pStyle w:val="rvps2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D05779" w:rsidRPr="00C228C7" w:rsidRDefault="00D05779" w:rsidP="00411C4F">
            <w:pPr>
              <w:pStyle w:val="rvps2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</w:pPr>
            <w:r w:rsidRPr="00C228C7"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  <w:t>Було</w:t>
            </w:r>
          </w:p>
        </w:tc>
        <w:tc>
          <w:tcPr>
            <w:tcW w:w="7513" w:type="dxa"/>
            <w:gridSpan w:val="2"/>
          </w:tcPr>
          <w:p w:rsidR="00D05779" w:rsidRPr="00C228C7" w:rsidRDefault="00D05779" w:rsidP="00411C4F">
            <w:pPr>
              <w:pStyle w:val="rvps2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</w:pPr>
            <w:r w:rsidRPr="00C228C7"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  <w:t>Стало</w:t>
            </w:r>
          </w:p>
        </w:tc>
      </w:tr>
      <w:tr w:rsidR="005205C2" w:rsidRPr="00C228C7" w:rsidTr="00411C4F">
        <w:tblPrEx>
          <w:tblLook w:val="04A0"/>
        </w:tblPrEx>
        <w:trPr>
          <w:trHeight w:val="1359"/>
        </w:trPr>
        <w:tc>
          <w:tcPr>
            <w:tcW w:w="2376" w:type="dxa"/>
          </w:tcPr>
          <w:p w:rsidR="005205C2" w:rsidRPr="00E05AE7" w:rsidRDefault="005205C2" w:rsidP="00411C4F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05AE7">
              <w:rPr>
                <w:rFonts w:ascii="Bookman Old Style" w:hAnsi="Bookman Old Style"/>
                <w:color w:val="000000"/>
                <w:sz w:val="22"/>
                <w:szCs w:val="22"/>
              </w:rPr>
              <w:t>Види доказів</w:t>
            </w:r>
          </w:p>
        </w:tc>
        <w:tc>
          <w:tcPr>
            <w:tcW w:w="5670" w:type="dxa"/>
          </w:tcPr>
          <w:p w:rsidR="005205C2" w:rsidRPr="00E90EB6" w:rsidRDefault="005205C2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Письмові;</w:t>
            </w:r>
          </w:p>
          <w:p w:rsidR="005205C2" w:rsidRPr="00E90EB6" w:rsidRDefault="005205C2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Речові;</w:t>
            </w:r>
          </w:p>
          <w:p w:rsidR="005205C2" w:rsidRPr="00E90EB6" w:rsidRDefault="005205C2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Висновки судових експертів;</w:t>
            </w:r>
          </w:p>
          <w:p w:rsidR="005205C2" w:rsidRPr="00E90EB6" w:rsidRDefault="005205C2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bookmarkStart w:id="0" w:name="n287"/>
            <w:bookmarkEnd w:id="0"/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Пояснення сторін, їх представників та інших осіб</w:t>
            </w:r>
            <w:r w:rsidR="00E90EB6"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3" w:type="dxa"/>
            <w:gridSpan w:val="2"/>
          </w:tcPr>
          <w:p w:rsidR="005205C2" w:rsidRPr="00E90EB6" w:rsidRDefault="005205C2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Письмові;</w:t>
            </w:r>
          </w:p>
          <w:p w:rsidR="005205C2" w:rsidRPr="00E90EB6" w:rsidRDefault="005205C2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Речові;</w:t>
            </w:r>
          </w:p>
          <w:p w:rsidR="005205C2" w:rsidRPr="00E90EB6" w:rsidRDefault="005205C2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Висновки експертів;</w:t>
            </w:r>
          </w:p>
          <w:p w:rsidR="00411C4F" w:rsidRDefault="005205C2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Показання свідків.</w:t>
            </w:r>
          </w:p>
          <w:p w:rsidR="000361E7" w:rsidRPr="00411C4F" w:rsidRDefault="000361E7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1C4F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Електронні</w:t>
            </w:r>
            <w:r w:rsidRPr="00411C4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411C4F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докази (документи в е-формі; </w:t>
            </w:r>
            <w:proofErr w:type="spellStart"/>
            <w:r w:rsidRPr="00411C4F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веб-сторінки</w:t>
            </w:r>
            <w:proofErr w:type="spellEnd"/>
            <w:r w:rsidRPr="00411C4F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; текстові/голосові повідомлення; бази даних; метадані; інші дані в е-формі)</w:t>
            </w:r>
          </w:p>
          <w:p w:rsidR="00411C4F" w:rsidRPr="00411C4F" w:rsidRDefault="00411C4F" w:rsidP="00411C4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411C4F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Висновок експерта у галузі права (носить консультативний характер)</w:t>
            </w:r>
          </w:p>
        </w:tc>
      </w:tr>
      <w:tr w:rsidR="005205C2" w:rsidRPr="00C228C7" w:rsidTr="00411C4F">
        <w:tblPrEx>
          <w:tblLook w:val="04A0"/>
        </w:tblPrEx>
        <w:trPr>
          <w:trHeight w:val="1168"/>
        </w:trPr>
        <w:tc>
          <w:tcPr>
            <w:tcW w:w="2376" w:type="dxa"/>
          </w:tcPr>
          <w:p w:rsidR="005205C2" w:rsidRPr="00E05AE7" w:rsidRDefault="005205C2" w:rsidP="00411C4F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05AE7">
              <w:rPr>
                <w:rFonts w:ascii="Bookman Old Style" w:hAnsi="Bookman Old Style"/>
                <w:color w:val="000000"/>
                <w:sz w:val="22"/>
                <w:szCs w:val="22"/>
              </w:rPr>
              <w:t>Подача доказів</w:t>
            </w:r>
          </w:p>
        </w:tc>
        <w:tc>
          <w:tcPr>
            <w:tcW w:w="5670" w:type="dxa"/>
          </w:tcPr>
          <w:p w:rsidR="00E90EB6" w:rsidRPr="00E90EB6" w:rsidRDefault="005205C2" w:rsidP="00411C4F">
            <w:pPr>
              <w:pStyle w:val="rvps2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Докази подаються сторонами та іншими особами, які беруть участь у справі</w:t>
            </w:r>
            <w:r w:rsidR="00E90EB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90EB6" w:rsidRPr="0056621A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протягом розгляду справи судом.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5205C2" w:rsidRPr="0056621A" w:rsidRDefault="00E90EB6" w:rsidP="00411C4F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F94926">
              <w:rPr>
                <w:rFonts w:ascii="Bookman Old Style" w:hAnsi="Bookman Old Style"/>
                <w:color w:val="000000"/>
                <w:sz w:val="20"/>
                <w:szCs w:val="20"/>
              </w:rPr>
              <w:t>Позивач повинен</w:t>
            </w:r>
            <w:r w:rsidR="005205C2" w:rsidRPr="00F949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подати докази </w:t>
            </w:r>
            <w:r w:rsidR="005205C2" w:rsidRPr="0056621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разом з поданням позовної заяви.</w:t>
            </w:r>
          </w:p>
          <w:p w:rsidR="005205C2" w:rsidRPr="00E90EB6" w:rsidRDefault="005205C2" w:rsidP="00411C4F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Відповідач, третя особа, яка не заявляє самостійних вимог щодо предмета спору, повинні подати суду докази </w:t>
            </w:r>
            <w:r w:rsidRPr="0056621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разом з поданням відзиву або письмових пояснень третьої особи.</w:t>
            </w:r>
          </w:p>
        </w:tc>
      </w:tr>
      <w:tr w:rsidR="00E90EB6" w:rsidRPr="00C228C7" w:rsidTr="00411C4F">
        <w:tblPrEx>
          <w:tblLook w:val="04A0"/>
        </w:tblPrEx>
        <w:trPr>
          <w:trHeight w:val="563"/>
        </w:trPr>
        <w:tc>
          <w:tcPr>
            <w:tcW w:w="2376" w:type="dxa"/>
          </w:tcPr>
          <w:p w:rsidR="00E90EB6" w:rsidRPr="00E05AE7" w:rsidRDefault="00E90EB6" w:rsidP="00411C4F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05AE7">
              <w:rPr>
                <w:rFonts w:ascii="Bookman Old Style" w:hAnsi="Bookman Old Style"/>
                <w:color w:val="000000"/>
                <w:sz w:val="22"/>
                <w:szCs w:val="22"/>
              </w:rPr>
              <w:t>Характеристики доказів</w:t>
            </w:r>
          </w:p>
        </w:tc>
        <w:tc>
          <w:tcPr>
            <w:tcW w:w="5670" w:type="dxa"/>
          </w:tcPr>
          <w:p w:rsidR="00E90EB6" w:rsidRPr="00E90EB6" w:rsidRDefault="00E90EB6" w:rsidP="00411C4F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Належність</w:t>
            </w:r>
          </w:p>
          <w:p w:rsidR="00E90EB6" w:rsidRPr="00E90EB6" w:rsidRDefault="00E90EB6" w:rsidP="00411C4F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Допустимість</w:t>
            </w:r>
          </w:p>
        </w:tc>
        <w:tc>
          <w:tcPr>
            <w:tcW w:w="3348" w:type="dxa"/>
            <w:tcBorders>
              <w:right w:val="nil"/>
            </w:tcBorders>
          </w:tcPr>
          <w:p w:rsidR="00E90EB6" w:rsidRPr="00E90EB6" w:rsidRDefault="00E90EB6" w:rsidP="00411C4F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Належність </w:t>
            </w:r>
          </w:p>
          <w:p w:rsidR="00E90EB6" w:rsidRPr="00F94926" w:rsidRDefault="00E90EB6" w:rsidP="00411C4F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Допустимість</w:t>
            </w:r>
          </w:p>
        </w:tc>
        <w:tc>
          <w:tcPr>
            <w:tcW w:w="4165" w:type="dxa"/>
            <w:tcBorders>
              <w:left w:val="nil"/>
            </w:tcBorders>
          </w:tcPr>
          <w:p w:rsidR="00E90EB6" w:rsidRPr="000361E7" w:rsidRDefault="00E90EB6" w:rsidP="00411C4F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361E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Достовірність</w:t>
            </w:r>
          </w:p>
          <w:p w:rsidR="00E90EB6" w:rsidRPr="00E90EB6" w:rsidRDefault="00E90EB6" w:rsidP="00411C4F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0361E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Достатність</w:t>
            </w:r>
          </w:p>
        </w:tc>
      </w:tr>
      <w:tr w:rsidR="00C228C7" w:rsidRPr="00C228C7" w:rsidTr="00411C4F">
        <w:tblPrEx>
          <w:tblLook w:val="04A0"/>
        </w:tblPrEx>
        <w:trPr>
          <w:trHeight w:val="3820"/>
        </w:trPr>
        <w:tc>
          <w:tcPr>
            <w:tcW w:w="2376" w:type="dxa"/>
          </w:tcPr>
          <w:p w:rsidR="00C228C7" w:rsidRPr="00E05AE7" w:rsidRDefault="00C228C7" w:rsidP="00411C4F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05AE7">
              <w:rPr>
                <w:rFonts w:ascii="Bookman Old Style" w:hAnsi="Bookman Old Style"/>
                <w:color w:val="000000"/>
                <w:sz w:val="22"/>
                <w:szCs w:val="22"/>
              </w:rPr>
              <w:t>Підстави звільнення від доказування</w:t>
            </w:r>
          </w:p>
        </w:tc>
        <w:tc>
          <w:tcPr>
            <w:tcW w:w="5670" w:type="dxa"/>
          </w:tcPr>
          <w:p w:rsidR="00C228C7" w:rsidRPr="00E90EB6" w:rsidRDefault="00C228C7" w:rsidP="00411C4F">
            <w:pPr>
              <w:pStyle w:val="rvps2"/>
              <w:numPr>
                <w:ilvl w:val="0"/>
                <w:numId w:val="9"/>
              </w:numPr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Обставини, які визнаються </w:t>
            </w:r>
            <w:r w:rsidR="00F9492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учасниками </w:t>
            </w:r>
          </w:p>
          <w:p w:rsidR="00C228C7" w:rsidRPr="00E90EB6" w:rsidRDefault="00C228C7" w:rsidP="00411C4F">
            <w:pPr>
              <w:pStyle w:val="rvps2"/>
              <w:numPr>
                <w:ilvl w:val="0"/>
                <w:numId w:val="9"/>
              </w:numPr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Обставини, визнані судом загальновідомими</w:t>
            </w:r>
          </w:p>
          <w:p w:rsidR="00C228C7" w:rsidRPr="00E90EB6" w:rsidRDefault="00C228C7" w:rsidP="00411C4F">
            <w:pPr>
              <w:pStyle w:val="rvps2"/>
              <w:numPr>
                <w:ilvl w:val="0"/>
                <w:numId w:val="9"/>
              </w:numPr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Обставини, встановлені рішенням суду у господарській, цивільній або адміністративній справі, що набрало законної сили</w:t>
            </w:r>
          </w:p>
          <w:p w:rsidR="00C228C7" w:rsidRPr="00E90EB6" w:rsidRDefault="00C228C7" w:rsidP="00411C4F">
            <w:pPr>
              <w:pStyle w:val="rvps2"/>
              <w:numPr>
                <w:ilvl w:val="0"/>
                <w:numId w:val="9"/>
              </w:numPr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Вирок суду в кримінальному провадженні або постанова суду у справі про адміністративне правопорушення, які набрали законної сили, є обов’язковими для господарського суду, що розглядає справу про правові наслідки дій чи бездіяльності особи, щодо якої ухвалений вирок або постанова суду, лише в питаннях, чи мало місце діяння та чи вчинене воно цією особою</w:t>
            </w:r>
          </w:p>
        </w:tc>
        <w:tc>
          <w:tcPr>
            <w:tcW w:w="7513" w:type="dxa"/>
            <w:gridSpan w:val="2"/>
          </w:tcPr>
          <w:p w:rsidR="00F94926" w:rsidRDefault="00C228C7" w:rsidP="00411C4F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Обставини, які визнаються учасниками справи</w:t>
            </w:r>
          </w:p>
          <w:p w:rsidR="00C228C7" w:rsidRPr="00E90EB6" w:rsidRDefault="00C228C7" w:rsidP="00411C4F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Обставини, </w:t>
            </w:r>
            <w:r w:rsidR="00E90EB6"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визнані судом загальновідомими,</w:t>
            </w:r>
          </w:p>
          <w:p w:rsidR="00C228C7" w:rsidRPr="00E90EB6" w:rsidRDefault="00C228C7" w:rsidP="00411C4F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Обставини, встановлені рішенням суду в господарській, цивільній або адміністративній сп</w:t>
            </w:r>
            <w:r w:rsidR="00E90EB6"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>раві, що набрало законної сили,</w:t>
            </w:r>
          </w:p>
          <w:p w:rsidR="00C228C7" w:rsidRPr="000361E7" w:rsidRDefault="00C228C7" w:rsidP="00411C4F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361E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Обставини, встановлені стосовно певної особи рішенням суду в господарській, цивільній або адміністративній справі, що набрало законної сили, можуть бути у загальному порядку спростовані особою, яка не брала участі у справі, в якій такі обставини були встановлені.</w:t>
            </w:r>
          </w:p>
          <w:p w:rsidR="00C228C7" w:rsidRPr="00E90EB6" w:rsidRDefault="00D459BB" w:rsidP="00411C4F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Рішення суду в кримінальній справі</w:t>
            </w:r>
            <w:r w:rsidR="00C228C7" w:rsidRPr="00E90EB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або постанова суду у справі про адміністративне правопорушення, які набрали законної сили, є обов’язковими для господарського суду, що розглядає справу про правові наслідки дій чи бездіяльності особи лише в питанні, чи мали місце ці дії (бездіяльність) та чи вчинені вони цією особою.</w:t>
            </w:r>
          </w:p>
          <w:p w:rsidR="00C228C7" w:rsidRPr="000361E7" w:rsidRDefault="00C228C7" w:rsidP="00411C4F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361E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Правова оцінка, надана судом певному факту при розгляді іншої справи, не є обов’язковою для суду.</w:t>
            </w:r>
          </w:p>
        </w:tc>
      </w:tr>
    </w:tbl>
    <w:p w:rsidR="0048134D" w:rsidRDefault="0048134D" w:rsidP="0048134D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8E2A95" w:rsidRPr="0048134D" w:rsidRDefault="0048134D" w:rsidP="0048134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*</w:t>
      </w:r>
      <w:r w:rsidRPr="0077062F">
        <w:rPr>
          <w:rFonts w:ascii="Bookman Old Style" w:hAnsi="Bookman Old Style"/>
          <w:b/>
          <w:sz w:val="20"/>
          <w:szCs w:val="20"/>
        </w:rPr>
        <w:t>Ж –</w:t>
      </w:r>
      <w:r w:rsidRPr="0077062F">
        <w:rPr>
          <w:rFonts w:ascii="Bookman Old Style" w:hAnsi="Bookman Old Style"/>
          <w:i/>
          <w:sz w:val="20"/>
          <w:szCs w:val="20"/>
        </w:rPr>
        <w:t xml:space="preserve">– </w:t>
      </w:r>
      <w:r w:rsidRPr="0048134D">
        <w:rPr>
          <w:rFonts w:ascii="Bookman Old Style" w:hAnsi="Bookman Old Style"/>
          <w:b/>
          <w:sz w:val="20"/>
          <w:szCs w:val="20"/>
        </w:rPr>
        <w:t>абсолютна новела</w:t>
      </w:r>
    </w:p>
    <w:sectPr w:rsidR="008E2A95" w:rsidRPr="0048134D" w:rsidSect="00E11CB6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89" w:rsidRDefault="00721489" w:rsidP="00E11CB6">
      <w:pPr>
        <w:spacing w:after="0" w:line="240" w:lineRule="auto"/>
      </w:pPr>
      <w:r>
        <w:separator/>
      </w:r>
    </w:p>
  </w:endnote>
  <w:endnote w:type="continuationSeparator" w:id="0">
    <w:p w:rsidR="00721489" w:rsidRDefault="00721489" w:rsidP="00E1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89" w:rsidRDefault="00721489" w:rsidP="00E11CB6">
      <w:pPr>
        <w:spacing w:after="0" w:line="240" w:lineRule="auto"/>
      </w:pPr>
      <w:r>
        <w:separator/>
      </w:r>
    </w:p>
  </w:footnote>
  <w:footnote w:type="continuationSeparator" w:id="0">
    <w:p w:rsidR="00721489" w:rsidRDefault="00721489" w:rsidP="00E1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B6" w:rsidRPr="00744CBC" w:rsidRDefault="00E11CB6" w:rsidP="0056621A">
    <w:pPr>
      <w:pStyle w:val="a5"/>
      <w:jc w:val="right"/>
      <w:rPr>
        <w:rFonts w:ascii="Bookman Old Style" w:hAnsi="Bookman Old Style"/>
      </w:rPr>
    </w:pPr>
    <w:r>
      <w:rPr>
        <w:rFonts w:ascii="Bookman Old Style" w:hAnsi="Bookman Old Style"/>
      </w:rPr>
      <w:t>Головні зміни ЦПК, ГПК і КАСУ</w:t>
    </w:r>
    <w:r w:rsidRPr="00744CBC">
      <w:rPr>
        <w:rFonts w:ascii="Bookman Old Style" w:hAnsi="Bookman Old Style"/>
      </w:rPr>
      <w:t xml:space="preserve"> в таблицях</w:t>
    </w:r>
  </w:p>
  <w:p w:rsidR="00E11CB6" w:rsidRPr="00E11CB6" w:rsidRDefault="00E11CB6" w:rsidP="00E11C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4F8"/>
    <w:multiLevelType w:val="hybridMultilevel"/>
    <w:tmpl w:val="D898D00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866"/>
    <w:multiLevelType w:val="hybridMultilevel"/>
    <w:tmpl w:val="C2AE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62E1"/>
    <w:multiLevelType w:val="hybridMultilevel"/>
    <w:tmpl w:val="1B1A07FA"/>
    <w:lvl w:ilvl="0" w:tplc="042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2E7696A"/>
    <w:multiLevelType w:val="hybridMultilevel"/>
    <w:tmpl w:val="CC0EB4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644C"/>
    <w:multiLevelType w:val="hybridMultilevel"/>
    <w:tmpl w:val="E6C6C5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244F4"/>
    <w:multiLevelType w:val="hybridMultilevel"/>
    <w:tmpl w:val="3A7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A720F"/>
    <w:multiLevelType w:val="hybridMultilevel"/>
    <w:tmpl w:val="DE62EB7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41C22A6"/>
    <w:multiLevelType w:val="hybridMultilevel"/>
    <w:tmpl w:val="E6F6213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A0A5A"/>
    <w:multiLevelType w:val="hybridMultilevel"/>
    <w:tmpl w:val="3A7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F0AA2"/>
    <w:multiLevelType w:val="hybridMultilevel"/>
    <w:tmpl w:val="1C20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401FF"/>
    <w:rsid w:val="000361E7"/>
    <w:rsid w:val="00046158"/>
    <w:rsid w:val="000D6C42"/>
    <w:rsid w:val="00141D03"/>
    <w:rsid w:val="00145F7F"/>
    <w:rsid w:val="001A6E40"/>
    <w:rsid w:val="00201EEE"/>
    <w:rsid w:val="002B6626"/>
    <w:rsid w:val="002F505A"/>
    <w:rsid w:val="0032068F"/>
    <w:rsid w:val="00392637"/>
    <w:rsid w:val="003B39E6"/>
    <w:rsid w:val="003D29D5"/>
    <w:rsid w:val="00411C4F"/>
    <w:rsid w:val="0048134D"/>
    <w:rsid w:val="005205C2"/>
    <w:rsid w:val="0056621A"/>
    <w:rsid w:val="005A58C0"/>
    <w:rsid w:val="007153CD"/>
    <w:rsid w:val="007158A8"/>
    <w:rsid w:val="00721489"/>
    <w:rsid w:val="0074207E"/>
    <w:rsid w:val="0079339E"/>
    <w:rsid w:val="007D147D"/>
    <w:rsid w:val="007D16E8"/>
    <w:rsid w:val="008401FF"/>
    <w:rsid w:val="008512C9"/>
    <w:rsid w:val="00A96114"/>
    <w:rsid w:val="00AA1DF6"/>
    <w:rsid w:val="00B720ED"/>
    <w:rsid w:val="00C228C7"/>
    <w:rsid w:val="00C548FF"/>
    <w:rsid w:val="00CA67BE"/>
    <w:rsid w:val="00CF67C0"/>
    <w:rsid w:val="00D05779"/>
    <w:rsid w:val="00D37C7B"/>
    <w:rsid w:val="00D459BB"/>
    <w:rsid w:val="00D87417"/>
    <w:rsid w:val="00D9195D"/>
    <w:rsid w:val="00DB2CEF"/>
    <w:rsid w:val="00E05AE7"/>
    <w:rsid w:val="00E11CB6"/>
    <w:rsid w:val="00E64BDC"/>
    <w:rsid w:val="00E90EB6"/>
    <w:rsid w:val="00F517F5"/>
    <w:rsid w:val="00F627FE"/>
    <w:rsid w:val="00F94926"/>
    <w:rsid w:val="00F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D3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37C7B"/>
  </w:style>
  <w:style w:type="character" w:customStyle="1" w:styleId="rvts46">
    <w:name w:val="rvts46"/>
    <w:basedOn w:val="a0"/>
    <w:rsid w:val="00D9195D"/>
  </w:style>
  <w:style w:type="character" w:styleId="a4">
    <w:name w:val="Hyperlink"/>
    <w:basedOn w:val="a0"/>
    <w:uiPriority w:val="99"/>
    <w:semiHidden/>
    <w:unhideWhenUsed/>
    <w:rsid w:val="00D9195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B6"/>
  </w:style>
  <w:style w:type="paragraph" w:styleId="a7">
    <w:name w:val="footer"/>
    <w:basedOn w:val="a"/>
    <w:link w:val="a8"/>
    <w:uiPriority w:val="99"/>
    <w:semiHidden/>
    <w:unhideWhenUsed/>
    <w:rsid w:val="00E1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Дячук</dc:creator>
  <cp:lastModifiedBy>Yuriy</cp:lastModifiedBy>
  <cp:revision>7</cp:revision>
  <dcterms:created xsi:type="dcterms:W3CDTF">2018-01-09T13:54:00Z</dcterms:created>
  <dcterms:modified xsi:type="dcterms:W3CDTF">2018-01-29T22:06:00Z</dcterms:modified>
</cp:coreProperties>
</file>