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50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2549"/>
        <w:gridCol w:w="2270"/>
        <w:gridCol w:w="4253"/>
        <w:gridCol w:w="992"/>
        <w:gridCol w:w="1275"/>
        <w:gridCol w:w="1843"/>
        <w:gridCol w:w="15"/>
      </w:tblGrid>
      <w:tr w:rsidR="00C77313" w:rsidRPr="005A3A54" w:rsidTr="00B30CA3">
        <w:tc>
          <w:tcPr>
            <w:tcW w:w="1504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30CA3" w:rsidRPr="00982494" w:rsidRDefault="00B30CA3" w:rsidP="00B30CA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982494">
              <w:rPr>
                <w:rFonts w:ascii="Bookman Old Style" w:hAnsi="Bookman Old Style"/>
                <w:b/>
                <w:sz w:val="22"/>
                <w:szCs w:val="22"/>
              </w:rPr>
              <w:t>ЗАГАЛЬНІ ПОЛОЖЕННЯ:</w:t>
            </w:r>
          </w:p>
          <w:p w:rsidR="00B30CA3" w:rsidRPr="00B30CA3" w:rsidRDefault="00B30CA3" w:rsidP="00B30CA3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center"/>
              <w:rPr>
                <w:rFonts w:ascii="Bookman Old Style" w:hAnsi="Bookman Old Style"/>
                <w:b/>
                <w:sz w:val="22"/>
                <w:szCs w:val="22"/>
                <w:lang w:val="uk-UA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  <w:lang w:val="uk-UA"/>
              </w:rPr>
              <w:t>Забезпечення позову</w:t>
            </w:r>
          </w:p>
          <w:p w:rsidR="00C77313" w:rsidRPr="00B30CA3" w:rsidRDefault="00C77313" w:rsidP="00145D98">
            <w:pPr>
              <w:tabs>
                <w:tab w:val="center" w:pos="7405"/>
                <w:tab w:val="left" w:pos="10297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C77313" w:rsidRPr="005A3A54" w:rsidTr="000C6E46">
        <w:trPr>
          <w:gridAfter w:val="1"/>
          <w:wAfter w:w="15" w:type="dxa"/>
          <w:trHeight w:val="347"/>
        </w:trPr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C77313" w:rsidRPr="005A3A54" w:rsidRDefault="00C77313" w:rsidP="00145D98">
            <w:pPr>
              <w:pStyle w:val="a3"/>
              <w:tabs>
                <w:tab w:val="left" w:pos="284"/>
                <w:tab w:val="left" w:pos="426"/>
              </w:tabs>
              <w:ind w:left="0"/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</w:pPr>
          </w:p>
          <w:p w:rsidR="00C77313" w:rsidRPr="005A3A54" w:rsidRDefault="00C77313" w:rsidP="00145D98">
            <w:pPr>
              <w:pStyle w:val="a3"/>
              <w:tabs>
                <w:tab w:val="left" w:pos="284"/>
                <w:tab w:val="left" w:pos="426"/>
              </w:tabs>
              <w:ind w:left="0"/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</w:pPr>
          </w:p>
          <w:p w:rsidR="00C77313" w:rsidRPr="005A3A54" w:rsidRDefault="00C77313" w:rsidP="00145D98">
            <w:pPr>
              <w:pStyle w:val="a3"/>
              <w:tabs>
                <w:tab w:val="left" w:pos="284"/>
                <w:tab w:val="left" w:pos="426"/>
              </w:tabs>
              <w:ind w:left="0"/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</w:pPr>
          </w:p>
          <w:p w:rsidR="00C77313" w:rsidRPr="005A3A54" w:rsidRDefault="00C77313" w:rsidP="00145D98">
            <w:pPr>
              <w:pStyle w:val="a3"/>
              <w:tabs>
                <w:tab w:val="left" w:pos="284"/>
                <w:tab w:val="left" w:pos="426"/>
              </w:tabs>
              <w:ind w:left="0"/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</w:pPr>
          </w:p>
          <w:p w:rsidR="00C77313" w:rsidRDefault="00C77313" w:rsidP="00145D98">
            <w:pPr>
              <w:pStyle w:val="a3"/>
              <w:tabs>
                <w:tab w:val="left" w:pos="284"/>
                <w:tab w:val="left" w:pos="426"/>
              </w:tabs>
              <w:ind w:left="0"/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</w:pPr>
          </w:p>
          <w:p w:rsidR="000C6E46" w:rsidRPr="005A3A54" w:rsidRDefault="000C6E46" w:rsidP="00145D98">
            <w:pPr>
              <w:pStyle w:val="a3"/>
              <w:tabs>
                <w:tab w:val="left" w:pos="284"/>
                <w:tab w:val="left" w:pos="426"/>
              </w:tabs>
              <w:ind w:left="0"/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</w:pPr>
          </w:p>
          <w:p w:rsidR="00C77313" w:rsidRPr="005A3A54" w:rsidRDefault="00C77313" w:rsidP="00145D98">
            <w:pPr>
              <w:pStyle w:val="a3"/>
              <w:tabs>
                <w:tab w:val="left" w:pos="284"/>
                <w:tab w:val="left" w:pos="426"/>
              </w:tabs>
              <w:ind w:left="0"/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</w:pPr>
            <w:r w:rsidRPr="005A3A54"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  <w:t xml:space="preserve">Заходи (Види) </w:t>
            </w:r>
          </w:p>
        </w:tc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13" w:rsidRPr="005A3A54" w:rsidRDefault="00C77313" w:rsidP="00145D98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A3A54">
              <w:rPr>
                <w:rFonts w:ascii="Bookman Old Style" w:hAnsi="Bookman Old Style"/>
                <w:sz w:val="20"/>
                <w:szCs w:val="20"/>
                <w:lang w:val="uk-UA"/>
              </w:rPr>
              <w:t>ЦПК</w:t>
            </w:r>
            <w:r>
              <w:rPr>
                <w:rFonts w:ascii="Bookman Old Style" w:hAnsi="Bookman Old Style"/>
                <w:sz w:val="20"/>
                <w:szCs w:val="20"/>
                <w:lang w:val="uk-UA"/>
              </w:rPr>
              <w:t xml:space="preserve"> та ГПК</w:t>
            </w:r>
          </w:p>
        </w:tc>
        <w:tc>
          <w:tcPr>
            <w:tcW w:w="411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77313" w:rsidRPr="005A3A54" w:rsidRDefault="00C77313" w:rsidP="00145D98">
            <w:pPr>
              <w:pStyle w:val="a3"/>
              <w:tabs>
                <w:tab w:val="left" w:pos="284"/>
                <w:tab w:val="left" w:pos="426"/>
              </w:tabs>
              <w:ind w:left="0"/>
              <w:jc w:val="center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A3A54">
              <w:rPr>
                <w:rFonts w:ascii="Bookman Old Style" w:hAnsi="Bookman Old Style"/>
                <w:sz w:val="20"/>
                <w:szCs w:val="20"/>
                <w:lang w:val="uk-UA"/>
              </w:rPr>
              <w:t>КАСУ</w:t>
            </w:r>
          </w:p>
        </w:tc>
      </w:tr>
      <w:tr w:rsidR="00C77313" w:rsidRPr="005A3A54" w:rsidTr="000C6E46">
        <w:trPr>
          <w:gridAfter w:val="1"/>
          <w:wAfter w:w="15" w:type="dxa"/>
          <w:trHeight w:val="2051"/>
        </w:trPr>
        <w:tc>
          <w:tcPr>
            <w:tcW w:w="18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77313" w:rsidRPr="005A3A54" w:rsidRDefault="00C77313" w:rsidP="00145D98">
            <w:pPr>
              <w:pStyle w:val="a3"/>
              <w:tabs>
                <w:tab w:val="left" w:pos="284"/>
                <w:tab w:val="left" w:pos="426"/>
              </w:tabs>
              <w:ind w:left="0"/>
              <w:rPr>
                <w:rFonts w:ascii="Bookman Old Style" w:hAnsi="Bookman Old Style"/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77313" w:rsidRPr="005A3A54" w:rsidRDefault="00C77313" w:rsidP="00145D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5A3A54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1) накладення арешту на майно та (або) грошові кошти, що належать або підлягають передачі або сплаті відповідачеві і знаходяться у нього чи в інших осіб;</w:t>
            </w:r>
          </w:p>
          <w:p w:rsidR="00C77313" w:rsidRPr="005A3A54" w:rsidRDefault="00C77313" w:rsidP="00145D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5A3A54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2) заборона/встановлення обов’язку вчиняти певні дії;</w:t>
            </w:r>
          </w:p>
          <w:p w:rsidR="00C77313" w:rsidRPr="005A3A54" w:rsidRDefault="00C77313" w:rsidP="00145D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5A3A54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 xml:space="preserve">4) забороною іншим особам </w:t>
            </w:r>
            <w:r w:rsidRPr="00CB0E59">
              <w:rPr>
                <w:rFonts w:ascii="Bookman Old Style" w:hAnsi="Bookman Old Style"/>
                <w:i/>
                <w:color w:val="000000"/>
                <w:sz w:val="20"/>
                <w:szCs w:val="20"/>
                <w:u w:val="single"/>
                <w:lang w:val="uk-UA"/>
              </w:rPr>
              <w:t>вчиняти дії щодо предмета спору</w:t>
            </w:r>
            <w:r w:rsidRPr="005A3A54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 xml:space="preserve"> або здійснювати платежі, або передавати майно відповідачеві чи виконувати щодо нього інші зобов’язання;</w:t>
            </w:r>
          </w:p>
          <w:p w:rsidR="00C77313" w:rsidRPr="005A3A54" w:rsidRDefault="00C77313" w:rsidP="00145D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5A3A54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5) зупиненням продажу арештованого майна, якщо подано позов про визнання права власності на це майно і про зняття з нього арешту;</w:t>
            </w:r>
          </w:p>
          <w:p w:rsidR="00C77313" w:rsidRPr="005A3A54" w:rsidRDefault="00C77313" w:rsidP="00145D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5A3A54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6) зупиненням стягнення на підставі виконавчого документа, який оскаржується боржником у судовому порядку;</w:t>
            </w:r>
          </w:p>
          <w:p w:rsidR="00C77313" w:rsidRPr="00CB0E59" w:rsidRDefault="00C77313" w:rsidP="00145D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i/>
                <w:color w:val="000000"/>
                <w:sz w:val="20"/>
                <w:szCs w:val="20"/>
                <w:u w:val="single"/>
                <w:lang w:val="uk-UA"/>
              </w:rPr>
            </w:pPr>
            <w:r w:rsidRPr="005A3A54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 xml:space="preserve">7) передачею речі, яка є предметом спору, на зберігання іншим особам, </w:t>
            </w:r>
            <w:r w:rsidRPr="00CB0E59">
              <w:rPr>
                <w:rFonts w:ascii="Bookman Old Style" w:hAnsi="Bookman Old Style"/>
                <w:i/>
                <w:color w:val="000000"/>
                <w:sz w:val="20"/>
                <w:szCs w:val="20"/>
                <w:u w:val="single"/>
                <w:lang w:val="uk-UA"/>
              </w:rPr>
              <w:t>які не мають інтересу в результаті вирішення спору;</w:t>
            </w:r>
          </w:p>
          <w:p w:rsidR="00C77313" w:rsidRPr="00CB0E59" w:rsidRDefault="00C77313" w:rsidP="00145D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i/>
                <w:color w:val="000000"/>
                <w:sz w:val="20"/>
                <w:szCs w:val="20"/>
                <w:u w:val="single"/>
                <w:lang w:val="uk-UA"/>
              </w:rPr>
            </w:pPr>
            <w:r w:rsidRPr="00CB0E59">
              <w:rPr>
                <w:rFonts w:ascii="Bookman Old Style" w:hAnsi="Bookman Old Style"/>
                <w:i/>
                <w:color w:val="000000"/>
                <w:sz w:val="20"/>
                <w:szCs w:val="20"/>
                <w:u w:val="single"/>
                <w:lang w:val="uk-UA"/>
              </w:rPr>
              <w:t>8) зупиненням митного оформлення товарів чи предметів;</w:t>
            </w:r>
          </w:p>
          <w:p w:rsidR="00C77313" w:rsidRPr="005A3A54" w:rsidRDefault="00C77313" w:rsidP="00145D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CB0E59">
              <w:rPr>
                <w:rFonts w:ascii="Bookman Old Style" w:hAnsi="Bookman Old Style"/>
                <w:i/>
                <w:color w:val="000000"/>
                <w:sz w:val="20"/>
                <w:szCs w:val="20"/>
                <w:u w:val="single"/>
                <w:lang w:val="uk-UA"/>
              </w:rPr>
              <w:t>9) арештом морського судна, що здійснюється для забезпечення морської вимоги</w:t>
            </w:r>
            <w:r w:rsidRPr="005A3A54">
              <w:rPr>
                <w:rFonts w:ascii="Bookman Old Style" w:hAnsi="Bookman Old Style"/>
                <w:b/>
                <w:color w:val="000000"/>
                <w:sz w:val="20"/>
                <w:szCs w:val="20"/>
                <w:u w:val="single"/>
                <w:lang w:val="uk-UA"/>
              </w:rPr>
              <w:t>;</w:t>
            </w:r>
          </w:p>
          <w:p w:rsidR="00C77313" w:rsidRPr="005A3A54" w:rsidRDefault="00C77313" w:rsidP="00145D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</w:pPr>
            <w:r w:rsidRPr="005A3A54">
              <w:rPr>
                <w:rFonts w:ascii="Bookman Old Style" w:hAnsi="Bookman Old Style"/>
                <w:color w:val="000000"/>
                <w:sz w:val="20"/>
                <w:szCs w:val="20"/>
                <w:lang w:val="uk-UA"/>
              </w:rPr>
              <w:t>10) іншими заходами, необхідними для забезпечення ефективного захисту або поновлення порушених чи оспорюваних прав та інтересів, якщо такий захист або поновлення не забезпечуються заходами, зазначеними у пунктах 1-9 цієї частини.</w:t>
            </w:r>
          </w:p>
          <w:p w:rsidR="00C77313" w:rsidRPr="005A3A54" w:rsidRDefault="00C77313" w:rsidP="00145D9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rFonts w:ascii="Bookman Old Style" w:hAnsi="Bookman Old Style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7313" w:rsidRPr="005A3A54" w:rsidRDefault="00C77313" w:rsidP="00145D98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A3A54">
              <w:rPr>
                <w:rFonts w:ascii="Bookman Old Style" w:hAnsi="Bookman Old Style"/>
                <w:sz w:val="20"/>
                <w:szCs w:val="20"/>
                <w:lang w:val="uk-UA"/>
              </w:rPr>
              <w:t>1) зупиненням дії індивідуального акта або нормативно-правового акта;</w:t>
            </w:r>
          </w:p>
          <w:p w:rsidR="00C77313" w:rsidRPr="005A3A54" w:rsidRDefault="00C77313" w:rsidP="00145D98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Bookman Old Style" w:hAnsi="Bookman Old Style"/>
                <w:sz w:val="20"/>
                <w:szCs w:val="20"/>
                <w:lang w:val="uk-UA"/>
              </w:rPr>
            </w:pPr>
            <w:r w:rsidRPr="005A3A54">
              <w:rPr>
                <w:rFonts w:ascii="Bookman Old Style" w:hAnsi="Bookman Old Style"/>
                <w:sz w:val="20"/>
                <w:szCs w:val="20"/>
                <w:lang w:val="uk-UA"/>
              </w:rPr>
              <w:t>2) забороною відповідачу вчиняти певні дії;</w:t>
            </w:r>
          </w:p>
          <w:p w:rsidR="00C77313" w:rsidRPr="00CB0E59" w:rsidRDefault="00C77313" w:rsidP="00145D98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 w:rsidRPr="00CB0E59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3) встановленням обов’язку відповідача вчинити певні дії;</w:t>
            </w:r>
          </w:p>
          <w:p w:rsidR="00C77313" w:rsidRPr="00CB0E59" w:rsidRDefault="00C77313" w:rsidP="00145D98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Bookman Old Style" w:hAnsi="Bookman Old Style"/>
                <w:b/>
                <w:sz w:val="20"/>
                <w:szCs w:val="20"/>
                <w:lang w:val="uk-UA"/>
              </w:rPr>
            </w:pPr>
            <w:r w:rsidRPr="00CB0E59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4) забороною іншим особам вчиняти дії, що стосуються предмета спору;</w:t>
            </w:r>
          </w:p>
          <w:p w:rsidR="00C77313" w:rsidRPr="005A3A54" w:rsidRDefault="00C77313" w:rsidP="00145D98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426"/>
              </w:tabs>
              <w:ind w:left="0" w:firstLine="0"/>
              <w:rPr>
                <w:rFonts w:ascii="Bookman Old Style" w:hAnsi="Bookman Old Style"/>
                <w:i/>
                <w:sz w:val="20"/>
                <w:szCs w:val="20"/>
                <w:u w:val="single"/>
                <w:lang w:val="uk-UA"/>
              </w:rPr>
            </w:pPr>
            <w:r w:rsidRPr="00CB0E59">
              <w:rPr>
                <w:rFonts w:ascii="Bookman Old Style" w:hAnsi="Bookman Old Style"/>
                <w:b/>
                <w:sz w:val="20"/>
                <w:szCs w:val="20"/>
                <w:lang w:val="uk-UA"/>
              </w:rPr>
              <w:t>5) зупиненням стягнення на підставі виконавчого документа або іншого документа, за яким стягнення здійснюється у безспірному порядку.</w:t>
            </w:r>
          </w:p>
        </w:tc>
      </w:tr>
      <w:tr w:rsidR="00C77313" w:rsidRPr="0077062F" w:rsidTr="000C6E46">
        <w:trPr>
          <w:gridAfter w:val="1"/>
          <w:wAfter w:w="15" w:type="dxa"/>
        </w:trPr>
        <w:tc>
          <w:tcPr>
            <w:tcW w:w="1844" w:type="dxa"/>
            <w:vMerge w:val="restart"/>
          </w:tcPr>
          <w:p w:rsidR="00C77313" w:rsidRPr="0077062F" w:rsidRDefault="00C77313" w:rsidP="00C77313">
            <w:pPr>
              <w:rPr>
                <w:rFonts w:ascii="Bookman Old Style" w:hAnsi="Bookman Old Style"/>
                <w:b/>
                <w:lang w:val="uk-UA"/>
              </w:rPr>
            </w:pPr>
            <w:r>
              <w:rPr>
                <w:rFonts w:ascii="Bookman Old Style" w:hAnsi="Bookman Old Style"/>
                <w:b/>
                <w:color w:val="000000" w:themeColor="text1"/>
                <w:lang w:val="uk-UA"/>
              </w:rPr>
              <w:t>Строк розгляду заяви</w:t>
            </w:r>
          </w:p>
        </w:tc>
        <w:tc>
          <w:tcPr>
            <w:tcW w:w="9072" w:type="dxa"/>
            <w:gridSpan w:val="3"/>
          </w:tcPr>
          <w:p w:rsidR="00C77313" w:rsidRPr="0077062F" w:rsidRDefault="00C77313" w:rsidP="00145D98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  <w:r w:rsidRPr="0077062F">
              <w:rPr>
                <w:rFonts w:ascii="Bookman Old Style" w:hAnsi="Bookman Old Style"/>
                <w:i/>
                <w:lang w:val="uk-UA"/>
              </w:rPr>
              <w:t>Було</w:t>
            </w:r>
          </w:p>
        </w:tc>
        <w:tc>
          <w:tcPr>
            <w:tcW w:w="4110" w:type="dxa"/>
            <w:gridSpan w:val="3"/>
          </w:tcPr>
          <w:p w:rsidR="00C77313" w:rsidRPr="0077062F" w:rsidRDefault="00C77313" w:rsidP="00145D98">
            <w:pPr>
              <w:jc w:val="center"/>
              <w:rPr>
                <w:rFonts w:ascii="Bookman Old Style" w:hAnsi="Bookman Old Style"/>
                <w:i/>
                <w:lang w:val="uk-UA"/>
              </w:rPr>
            </w:pPr>
            <w:r w:rsidRPr="0077062F">
              <w:rPr>
                <w:rFonts w:ascii="Bookman Old Style" w:hAnsi="Bookman Old Style"/>
                <w:i/>
                <w:lang w:val="uk-UA"/>
              </w:rPr>
              <w:t>Стало</w:t>
            </w:r>
          </w:p>
        </w:tc>
      </w:tr>
      <w:tr w:rsidR="000C6E46" w:rsidRPr="009A4B76" w:rsidTr="000C6E46">
        <w:trPr>
          <w:gridAfter w:val="1"/>
          <w:wAfter w:w="15" w:type="dxa"/>
          <w:trHeight w:val="186"/>
        </w:trPr>
        <w:tc>
          <w:tcPr>
            <w:tcW w:w="1844" w:type="dxa"/>
            <w:vMerge/>
          </w:tcPr>
          <w:p w:rsidR="00C77313" w:rsidRPr="0077062F" w:rsidRDefault="00C77313" w:rsidP="00145D98">
            <w:pPr>
              <w:jc w:val="center"/>
              <w:rPr>
                <w:rFonts w:ascii="Bookman Old Style" w:hAnsi="Bookman Old Style"/>
                <w:b/>
                <w:color w:val="000000" w:themeColor="text1"/>
                <w:lang w:val="uk-UA"/>
              </w:rPr>
            </w:pPr>
          </w:p>
        </w:tc>
        <w:tc>
          <w:tcPr>
            <w:tcW w:w="2549" w:type="dxa"/>
          </w:tcPr>
          <w:p w:rsidR="00C77313" w:rsidRPr="009A4B76" w:rsidRDefault="00C77313" w:rsidP="00145D98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9A4B76">
              <w:rPr>
                <w:rFonts w:ascii="Bookman Old Style" w:hAnsi="Bookman Old Style"/>
                <w:lang w:val="uk-UA"/>
              </w:rPr>
              <w:t>ГПК</w:t>
            </w:r>
          </w:p>
        </w:tc>
        <w:tc>
          <w:tcPr>
            <w:tcW w:w="2270" w:type="dxa"/>
          </w:tcPr>
          <w:p w:rsidR="00C77313" w:rsidRPr="009A4B76" w:rsidRDefault="00C77313" w:rsidP="00145D98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9A4B76">
              <w:rPr>
                <w:rFonts w:ascii="Bookman Old Style" w:hAnsi="Bookman Old Style"/>
                <w:lang w:val="uk-UA"/>
              </w:rPr>
              <w:t>ЦПК</w:t>
            </w:r>
          </w:p>
        </w:tc>
        <w:tc>
          <w:tcPr>
            <w:tcW w:w="4253" w:type="dxa"/>
          </w:tcPr>
          <w:p w:rsidR="00C77313" w:rsidRPr="009A4B76" w:rsidRDefault="00C77313" w:rsidP="00145D98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9A4B76">
              <w:rPr>
                <w:rFonts w:ascii="Bookman Old Style" w:hAnsi="Bookman Old Style"/>
                <w:lang w:val="uk-UA"/>
              </w:rPr>
              <w:t>КАСУ</w:t>
            </w:r>
          </w:p>
        </w:tc>
        <w:tc>
          <w:tcPr>
            <w:tcW w:w="992" w:type="dxa"/>
          </w:tcPr>
          <w:p w:rsidR="00C77313" w:rsidRPr="009A4B76" w:rsidRDefault="00C77313" w:rsidP="00145D98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9A4B76">
              <w:rPr>
                <w:rFonts w:ascii="Bookman Old Style" w:hAnsi="Bookman Old Style"/>
                <w:lang w:val="uk-UA"/>
              </w:rPr>
              <w:t>ГПК</w:t>
            </w:r>
          </w:p>
        </w:tc>
        <w:tc>
          <w:tcPr>
            <w:tcW w:w="1275" w:type="dxa"/>
          </w:tcPr>
          <w:p w:rsidR="00C77313" w:rsidRPr="009A4B76" w:rsidRDefault="00C77313" w:rsidP="00145D98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9A4B76">
              <w:rPr>
                <w:rFonts w:ascii="Bookman Old Style" w:hAnsi="Bookman Old Style"/>
                <w:lang w:val="uk-UA"/>
              </w:rPr>
              <w:t>ЦПК</w:t>
            </w:r>
          </w:p>
        </w:tc>
        <w:tc>
          <w:tcPr>
            <w:tcW w:w="1843" w:type="dxa"/>
          </w:tcPr>
          <w:p w:rsidR="00C77313" w:rsidRPr="009A4B76" w:rsidRDefault="00C77313" w:rsidP="00145D98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9A4B76">
              <w:rPr>
                <w:rFonts w:ascii="Bookman Old Style" w:hAnsi="Bookman Old Style"/>
                <w:lang w:val="uk-UA"/>
              </w:rPr>
              <w:t>КАСУ</w:t>
            </w:r>
          </w:p>
        </w:tc>
      </w:tr>
      <w:tr w:rsidR="000C6E46" w:rsidRPr="009A4B76" w:rsidTr="000C6E46">
        <w:trPr>
          <w:gridAfter w:val="1"/>
          <w:wAfter w:w="15" w:type="dxa"/>
          <w:trHeight w:val="279"/>
        </w:trPr>
        <w:tc>
          <w:tcPr>
            <w:tcW w:w="1844" w:type="dxa"/>
            <w:vMerge/>
          </w:tcPr>
          <w:p w:rsidR="000C6E46" w:rsidRPr="0077062F" w:rsidRDefault="000C6E46" w:rsidP="00145D98">
            <w:pPr>
              <w:jc w:val="center"/>
              <w:rPr>
                <w:rFonts w:ascii="Bookman Old Style" w:hAnsi="Bookman Old Style"/>
                <w:b/>
                <w:color w:val="000000" w:themeColor="text1"/>
                <w:lang w:val="uk-UA"/>
              </w:rPr>
            </w:pPr>
          </w:p>
        </w:tc>
        <w:tc>
          <w:tcPr>
            <w:tcW w:w="2549" w:type="dxa"/>
          </w:tcPr>
          <w:p w:rsidR="000C6E46" w:rsidRPr="009A4B76" w:rsidRDefault="000C6E46" w:rsidP="00145D98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не було визначено</w:t>
            </w:r>
          </w:p>
        </w:tc>
        <w:tc>
          <w:tcPr>
            <w:tcW w:w="2270" w:type="dxa"/>
            <w:tcBorders>
              <w:right w:val="single" w:sz="4" w:space="0" w:color="auto"/>
            </w:tcBorders>
          </w:tcPr>
          <w:p w:rsidR="000C6E46" w:rsidRPr="009A4B76" w:rsidRDefault="000C6E46" w:rsidP="00145D98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в день її надходження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0C6E46" w:rsidRPr="000C6E46" w:rsidRDefault="000C6E46" w:rsidP="000C6E46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uk-UA"/>
              </w:rPr>
            </w:pPr>
            <w:r w:rsidRPr="000C6E46">
              <w:rPr>
                <w:rFonts w:ascii="Bookman Old Style" w:hAnsi="Bookman Old Style"/>
                <w:b/>
                <w:sz w:val="18"/>
                <w:szCs w:val="18"/>
                <w:lang w:val="uk-UA"/>
              </w:rPr>
              <w:t>не пізніше двох днів з дня її надходження</w:t>
            </w:r>
          </w:p>
        </w:tc>
        <w:tc>
          <w:tcPr>
            <w:tcW w:w="4110" w:type="dxa"/>
            <w:gridSpan w:val="3"/>
          </w:tcPr>
          <w:p w:rsidR="000C6E46" w:rsidRPr="000C6E46" w:rsidRDefault="000C6E46" w:rsidP="000C6E46">
            <w:pPr>
              <w:jc w:val="center"/>
              <w:rPr>
                <w:rFonts w:ascii="Bookman Old Style" w:hAnsi="Bookman Old Style"/>
                <w:sz w:val="20"/>
                <w:lang w:val="uk-UA"/>
              </w:rPr>
            </w:pPr>
            <w:r w:rsidRPr="000C6E46">
              <w:rPr>
                <w:rFonts w:ascii="Bookman Old Style" w:hAnsi="Bookman Old Style"/>
                <w:b/>
                <w:sz w:val="20"/>
                <w:lang w:val="uk-UA"/>
              </w:rPr>
              <w:t>не пізніше двох днів з дня її надходження</w:t>
            </w:r>
          </w:p>
        </w:tc>
      </w:tr>
    </w:tbl>
    <w:tbl>
      <w:tblPr>
        <w:tblW w:w="150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3173"/>
      </w:tblGrid>
      <w:tr w:rsidR="000C6E46" w:rsidTr="00B30CA3">
        <w:trPr>
          <w:trHeight w:val="1278"/>
        </w:trPr>
        <w:tc>
          <w:tcPr>
            <w:tcW w:w="1844" w:type="dxa"/>
          </w:tcPr>
          <w:p w:rsidR="000C6E46" w:rsidRPr="000C6E46" w:rsidRDefault="000C6E46" w:rsidP="000C6E4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u w:val="single"/>
                <w:lang w:val="uk-UA"/>
              </w:rPr>
            </w:pPr>
            <w:r w:rsidRPr="000C6E46">
              <w:rPr>
                <w:rFonts w:ascii="Bookman Old Style" w:hAnsi="Bookman Old Style"/>
                <w:b/>
                <w:i/>
                <w:sz w:val="20"/>
                <w:szCs w:val="20"/>
                <w:u w:val="single"/>
                <w:lang w:val="uk-UA"/>
              </w:rPr>
              <w:t>Зустрічне забезпечення</w:t>
            </w:r>
          </w:p>
          <w:p w:rsidR="000C6E46" w:rsidRPr="000C6E46" w:rsidRDefault="000C6E46" w:rsidP="000C6E4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/>
                <w:sz w:val="20"/>
                <w:szCs w:val="20"/>
                <w:u w:val="single"/>
                <w:lang w:val="uk-UA"/>
              </w:rPr>
            </w:pPr>
            <w:r w:rsidRPr="000C6E46">
              <w:rPr>
                <w:rFonts w:ascii="Bookman Old Style" w:hAnsi="Bookman Old Style"/>
                <w:b/>
                <w:i/>
                <w:sz w:val="20"/>
                <w:szCs w:val="20"/>
                <w:u w:val="single"/>
                <w:lang w:val="uk-UA"/>
              </w:rPr>
              <w:t>(новела ЦПК та ГПК)</w:t>
            </w:r>
          </w:p>
        </w:tc>
        <w:tc>
          <w:tcPr>
            <w:tcW w:w="13173" w:type="dxa"/>
          </w:tcPr>
          <w:p w:rsidR="000C6E46" w:rsidRPr="000C6E46" w:rsidRDefault="000C6E46" w:rsidP="000C6E46">
            <w:pPr>
              <w:spacing w:after="0" w:line="240" w:lineRule="auto"/>
              <w:ind w:firstLine="170"/>
              <w:rPr>
                <w:rFonts w:ascii="Bookman Old Style" w:hAnsi="Bookman Old Style"/>
                <w:b/>
                <w:i/>
                <w:sz w:val="20"/>
                <w:szCs w:val="20"/>
                <w:u w:val="single"/>
                <w:lang w:val="uk-UA"/>
              </w:rPr>
            </w:pPr>
            <w:r w:rsidRPr="000C6E46">
              <w:rPr>
                <w:rFonts w:ascii="Bookman Old Style" w:hAnsi="Bookman Old Style"/>
                <w:b/>
                <w:i/>
                <w:sz w:val="20"/>
                <w:szCs w:val="20"/>
                <w:u w:val="single"/>
                <w:lang w:val="uk-UA"/>
              </w:rPr>
              <w:t>1. Суд може вимагати від особи, яка звернулася із заявою про забезпечення позову, забезпечити відшкодування можливих збитків відповідача, які можуть бути спричинені забезпеченням позову (зустрічне забезпечення).</w:t>
            </w:r>
          </w:p>
          <w:p w:rsidR="000C6E46" w:rsidRPr="000C6E46" w:rsidRDefault="000C6E46" w:rsidP="000C6E46">
            <w:pPr>
              <w:spacing w:after="0" w:line="240" w:lineRule="auto"/>
              <w:ind w:firstLine="170"/>
              <w:rPr>
                <w:rFonts w:ascii="Bookman Old Style" w:hAnsi="Bookman Old Style"/>
                <w:b/>
                <w:i/>
                <w:sz w:val="20"/>
                <w:szCs w:val="20"/>
                <w:u w:val="single"/>
                <w:lang w:val="uk-UA"/>
              </w:rPr>
            </w:pPr>
            <w:r w:rsidRPr="000C6E46">
              <w:rPr>
                <w:rFonts w:ascii="Bookman Old Style" w:hAnsi="Bookman Old Style"/>
                <w:b/>
                <w:i/>
                <w:sz w:val="20"/>
                <w:szCs w:val="20"/>
                <w:u w:val="single"/>
                <w:lang w:val="uk-UA"/>
              </w:rPr>
              <w:t xml:space="preserve">2. Зустрічне забезпечення, як правило, здійснюється шляхом внесення на депозитний рахунок суду грошових коштів в розмірі, визначеному судом. </w:t>
            </w:r>
          </w:p>
        </w:tc>
      </w:tr>
    </w:tbl>
    <w:p w:rsidR="000C6E46" w:rsidRDefault="000C6E46" w:rsidP="000C6E46">
      <w:pPr>
        <w:spacing w:after="0" w:line="240" w:lineRule="auto"/>
        <w:rPr>
          <w:rFonts w:ascii="Bookman Old Style" w:hAnsi="Bookman Old Style"/>
          <w:sz w:val="20"/>
          <w:szCs w:val="20"/>
          <w:u w:val="single"/>
          <w:lang w:val="uk-UA"/>
        </w:rPr>
      </w:pPr>
      <w:bookmarkStart w:id="0" w:name="_GoBack"/>
      <w:bookmarkEnd w:id="0"/>
    </w:p>
    <w:p w:rsidR="00B30CA3" w:rsidRDefault="00B30CA3" w:rsidP="000C6E46">
      <w:pPr>
        <w:spacing w:after="0" w:line="240" w:lineRule="auto"/>
        <w:rPr>
          <w:rFonts w:ascii="Bookman Old Style" w:hAnsi="Bookman Old Style"/>
          <w:sz w:val="20"/>
          <w:szCs w:val="20"/>
          <w:u w:val="single"/>
          <w:lang w:val="uk-UA"/>
        </w:rPr>
      </w:pPr>
    </w:p>
    <w:p w:rsidR="00B30CA3" w:rsidRDefault="00B30CA3" w:rsidP="000C6E46">
      <w:pPr>
        <w:spacing w:after="0" w:line="240" w:lineRule="auto"/>
        <w:rPr>
          <w:rFonts w:ascii="Bookman Old Style" w:hAnsi="Bookman Old Style"/>
          <w:sz w:val="20"/>
          <w:szCs w:val="20"/>
          <w:u w:val="single"/>
          <w:lang w:val="uk-UA"/>
        </w:rPr>
      </w:pPr>
    </w:p>
    <w:p w:rsidR="00C77313" w:rsidRPr="005A3A54" w:rsidRDefault="00C77313" w:rsidP="000C6E46">
      <w:pPr>
        <w:spacing w:after="0" w:line="240" w:lineRule="auto"/>
        <w:rPr>
          <w:rFonts w:ascii="Bookman Old Style" w:hAnsi="Bookman Old Style"/>
          <w:sz w:val="20"/>
          <w:szCs w:val="20"/>
          <w:lang w:val="uk-UA"/>
        </w:rPr>
      </w:pPr>
      <w:r w:rsidRPr="0077062F">
        <w:rPr>
          <w:rFonts w:ascii="Bookman Old Style" w:hAnsi="Bookman Old Style"/>
          <w:sz w:val="20"/>
          <w:szCs w:val="20"/>
          <w:u w:val="single"/>
          <w:lang w:val="uk-UA"/>
        </w:rPr>
        <w:t>Ч</w:t>
      </w:r>
      <w:r w:rsidRPr="0077062F">
        <w:rPr>
          <w:rFonts w:ascii="Bookman Old Style" w:hAnsi="Bookman Old Style"/>
          <w:sz w:val="20"/>
          <w:szCs w:val="20"/>
          <w:lang w:val="uk-UA"/>
        </w:rPr>
        <w:t xml:space="preserve"> -  не було в ЦПК; </w:t>
      </w:r>
      <w:r w:rsidRPr="0077062F">
        <w:rPr>
          <w:rFonts w:ascii="Bookman Old Style" w:hAnsi="Bookman Old Style"/>
          <w:i/>
          <w:sz w:val="20"/>
          <w:szCs w:val="20"/>
          <w:lang w:val="uk-UA"/>
        </w:rPr>
        <w:t>К – не було в ГПК;</w:t>
      </w:r>
      <w:r w:rsidRPr="0077062F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Pr="0077062F">
        <w:rPr>
          <w:rFonts w:ascii="Bookman Old Style" w:hAnsi="Bookman Old Style"/>
          <w:b/>
          <w:sz w:val="20"/>
          <w:szCs w:val="20"/>
          <w:lang w:val="uk-UA"/>
        </w:rPr>
        <w:t>Ж – не було в КАСУ;</w:t>
      </w:r>
      <w:r w:rsidRPr="0077062F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Pr="0077062F">
        <w:rPr>
          <w:rFonts w:ascii="Bookman Old Style" w:hAnsi="Bookman Old Style"/>
          <w:b/>
          <w:i/>
          <w:sz w:val="20"/>
          <w:szCs w:val="20"/>
          <w:u w:val="single"/>
          <w:lang w:val="uk-UA"/>
        </w:rPr>
        <w:t>КЧЖ</w:t>
      </w:r>
      <w:r w:rsidRPr="0077062F">
        <w:rPr>
          <w:rFonts w:ascii="Bookman Old Style" w:hAnsi="Bookman Old Style"/>
          <w:i/>
          <w:sz w:val="20"/>
          <w:szCs w:val="20"/>
          <w:lang w:val="uk-UA"/>
        </w:rPr>
        <w:t xml:space="preserve"> – </w:t>
      </w:r>
      <w:r w:rsidRPr="0077062F">
        <w:rPr>
          <w:rFonts w:ascii="Bookman Old Style" w:hAnsi="Bookman Old Style"/>
          <w:b/>
          <w:i/>
          <w:sz w:val="20"/>
          <w:szCs w:val="20"/>
          <w:u w:val="single"/>
          <w:lang w:val="uk-UA"/>
        </w:rPr>
        <w:t>абсолютна новела</w:t>
      </w:r>
    </w:p>
    <w:sectPr w:rsidR="00C77313" w:rsidRPr="005A3A54" w:rsidSect="006C3541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717" w:rsidRDefault="00F26717" w:rsidP="006C3541">
      <w:pPr>
        <w:spacing w:after="0" w:line="240" w:lineRule="auto"/>
      </w:pPr>
      <w:r>
        <w:separator/>
      </w:r>
    </w:p>
  </w:endnote>
  <w:endnote w:type="continuationSeparator" w:id="0">
    <w:p w:rsidR="00F26717" w:rsidRDefault="00F26717" w:rsidP="006C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717" w:rsidRDefault="00F26717" w:rsidP="006C3541">
      <w:pPr>
        <w:spacing w:after="0" w:line="240" w:lineRule="auto"/>
      </w:pPr>
      <w:r>
        <w:separator/>
      </w:r>
    </w:p>
  </w:footnote>
  <w:footnote w:type="continuationSeparator" w:id="0">
    <w:p w:rsidR="00F26717" w:rsidRDefault="00F26717" w:rsidP="006C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541" w:rsidRPr="006C3541" w:rsidRDefault="006C3541" w:rsidP="00715604">
    <w:pPr>
      <w:pStyle w:val="a5"/>
      <w:jc w:val="right"/>
      <w:rPr>
        <w:rFonts w:ascii="Bookman Old Style" w:hAnsi="Bookman Old Style"/>
        <w:lang w:val="uk-UA"/>
      </w:rPr>
    </w:pPr>
    <w:r>
      <w:rPr>
        <w:rFonts w:ascii="Bookman Old Style" w:hAnsi="Bookman Old Style"/>
        <w:lang w:val="uk-UA"/>
      </w:rPr>
      <w:t>Головні зміни ЦПК, ГПК і КАСУ</w:t>
    </w:r>
    <w:r w:rsidRPr="00744CBC">
      <w:rPr>
        <w:rFonts w:ascii="Bookman Old Style" w:hAnsi="Bookman Old Style"/>
        <w:lang w:val="uk-UA"/>
      </w:rPr>
      <w:t xml:space="preserve"> в таблицях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27E"/>
    <w:multiLevelType w:val="hybridMultilevel"/>
    <w:tmpl w:val="D1FE9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E0EA0"/>
    <w:multiLevelType w:val="hybridMultilevel"/>
    <w:tmpl w:val="7788F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F094D"/>
    <w:multiLevelType w:val="hybridMultilevel"/>
    <w:tmpl w:val="7C065ED4"/>
    <w:lvl w:ilvl="0" w:tplc="7786DD98">
      <w:start w:val="1"/>
      <w:numFmt w:val="decimal"/>
      <w:lvlText w:val="%1)"/>
      <w:lvlJc w:val="left"/>
      <w:pPr>
        <w:ind w:left="1211" w:hanging="360"/>
      </w:pPr>
      <w:rPr>
        <w:rFonts w:ascii="Bookman Old Style" w:hAnsi="Bookman Old Style" w:hint="default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-2671"/>
        </w:tabs>
        <w:ind w:left="-26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-1951"/>
        </w:tabs>
        <w:ind w:left="-19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-1231"/>
        </w:tabs>
        <w:ind w:left="-12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-511"/>
        </w:tabs>
        <w:ind w:left="-51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09"/>
        </w:tabs>
        <w:ind w:left="2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929"/>
        </w:tabs>
        <w:ind w:left="9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649"/>
        </w:tabs>
        <w:ind w:left="16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2369"/>
        </w:tabs>
        <w:ind w:left="2369" w:hanging="360"/>
      </w:pPr>
    </w:lvl>
  </w:abstractNum>
  <w:abstractNum w:abstractNumId="3" w15:restartNumberingAfterBreak="0">
    <w:nsid w:val="61542838"/>
    <w:multiLevelType w:val="hybridMultilevel"/>
    <w:tmpl w:val="4CB8C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A17FA"/>
    <w:multiLevelType w:val="hybridMultilevel"/>
    <w:tmpl w:val="5032D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C3C69"/>
    <w:multiLevelType w:val="hybridMultilevel"/>
    <w:tmpl w:val="9C923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5B0EF6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FE0"/>
    <w:rsid w:val="000C6E46"/>
    <w:rsid w:val="000E18CF"/>
    <w:rsid w:val="001858FB"/>
    <w:rsid w:val="001A6FB7"/>
    <w:rsid w:val="00257D29"/>
    <w:rsid w:val="002B1770"/>
    <w:rsid w:val="002D30DB"/>
    <w:rsid w:val="00363310"/>
    <w:rsid w:val="004C53C0"/>
    <w:rsid w:val="004E7465"/>
    <w:rsid w:val="005A3A54"/>
    <w:rsid w:val="005E2F05"/>
    <w:rsid w:val="006C3541"/>
    <w:rsid w:val="00700259"/>
    <w:rsid w:val="00715604"/>
    <w:rsid w:val="00717E17"/>
    <w:rsid w:val="008C0C42"/>
    <w:rsid w:val="00A22394"/>
    <w:rsid w:val="00A50AF2"/>
    <w:rsid w:val="00AD253F"/>
    <w:rsid w:val="00B30CA3"/>
    <w:rsid w:val="00C77313"/>
    <w:rsid w:val="00CB0E59"/>
    <w:rsid w:val="00CE58F8"/>
    <w:rsid w:val="00CF5952"/>
    <w:rsid w:val="00F26717"/>
    <w:rsid w:val="00FE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AD67"/>
  <w15:docId w15:val="{C3D54F1C-0773-4C81-BD8C-E54FADDD0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F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FE0"/>
    <w:pPr>
      <w:ind w:left="720"/>
      <w:contextualSpacing/>
    </w:pPr>
  </w:style>
  <w:style w:type="table" w:styleId="a4">
    <w:name w:val="Table Grid"/>
    <w:basedOn w:val="a1"/>
    <w:uiPriority w:val="59"/>
    <w:rsid w:val="00FE0F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2">
    <w:name w:val="rvps2"/>
    <w:basedOn w:val="a"/>
    <w:rsid w:val="00FE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C3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354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C3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3541"/>
    <w:rPr>
      <w:rFonts w:eastAsiaTheme="minorEastAsia"/>
      <w:lang w:eastAsia="ru-RU"/>
    </w:rPr>
  </w:style>
  <w:style w:type="character" w:customStyle="1" w:styleId="rvts46">
    <w:name w:val="rvts46"/>
    <w:basedOn w:val="a0"/>
    <w:rsid w:val="00CF5952"/>
  </w:style>
  <w:style w:type="character" w:styleId="a9">
    <w:name w:val="Hyperlink"/>
    <w:basedOn w:val="a0"/>
    <w:uiPriority w:val="99"/>
    <w:semiHidden/>
    <w:unhideWhenUsed/>
    <w:rsid w:val="00CF5952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70025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0025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00259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025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00259"/>
    <w:rPr>
      <w:rFonts w:eastAsiaTheme="minorEastAsia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00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002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</dc:creator>
  <cp:lastModifiedBy>Юрий Дячук</cp:lastModifiedBy>
  <cp:revision>4</cp:revision>
  <dcterms:created xsi:type="dcterms:W3CDTF">2018-01-09T14:05:00Z</dcterms:created>
  <dcterms:modified xsi:type="dcterms:W3CDTF">2018-01-20T12:26:00Z</dcterms:modified>
</cp:coreProperties>
</file>