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10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1"/>
        <w:gridCol w:w="1833"/>
        <w:gridCol w:w="3509"/>
        <w:gridCol w:w="636"/>
        <w:gridCol w:w="3013"/>
        <w:gridCol w:w="54"/>
        <w:gridCol w:w="13"/>
        <w:gridCol w:w="429"/>
        <w:gridCol w:w="3596"/>
      </w:tblGrid>
      <w:tr w:rsidR="00DC0548" w:rsidRPr="00E8454C" w:rsidTr="00DC0548">
        <w:trPr>
          <w:trHeight w:val="274"/>
        </w:trPr>
        <w:tc>
          <w:tcPr>
            <w:tcW w:w="15044" w:type="dxa"/>
            <w:gridSpan w:val="9"/>
            <w:tcBorders>
              <w:bottom w:val="nil"/>
            </w:tcBorders>
          </w:tcPr>
          <w:p w:rsidR="00DC0548" w:rsidRPr="00DC0548" w:rsidRDefault="00DC0548" w:rsidP="00DC054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82494">
              <w:rPr>
                <w:rFonts w:ascii="Bookman Old Style" w:hAnsi="Bookman Old Style"/>
                <w:b/>
                <w:sz w:val="22"/>
                <w:szCs w:val="22"/>
              </w:rPr>
              <w:t>ЗАГАЛЬНІ ПОЛОЖЕННЯ:</w:t>
            </w:r>
          </w:p>
        </w:tc>
      </w:tr>
      <w:tr w:rsidR="001A1749" w:rsidRPr="00E8454C" w:rsidTr="00DC0548">
        <w:trPr>
          <w:trHeight w:val="274"/>
        </w:trPr>
        <w:tc>
          <w:tcPr>
            <w:tcW w:w="15044" w:type="dxa"/>
            <w:gridSpan w:val="9"/>
            <w:tcBorders>
              <w:top w:val="nil"/>
            </w:tcBorders>
          </w:tcPr>
          <w:p w:rsidR="001A1749" w:rsidRPr="00E8454C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  <w:r w:rsidRPr="00E8454C">
              <w:rPr>
                <w:rFonts w:ascii="Bookman Old Style" w:hAnsi="Bookman Old Style"/>
                <w:b/>
                <w:sz w:val="20"/>
                <w:lang w:val="uk-UA"/>
              </w:rPr>
              <w:t>ЗАХОДИ ПРОЦЕСУАЛЬНОГО ПРИМУСУ</w:t>
            </w:r>
          </w:p>
        </w:tc>
      </w:tr>
      <w:tr w:rsidR="001A1749" w:rsidRPr="00E3559C" w:rsidTr="001A1749">
        <w:tblPrEx>
          <w:tblLook w:val="04A0"/>
        </w:tblPrEx>
        <w:trPr>
          <w:trHeight w:val="313"/>
        </w:trPr>
        <w:tc>
          <w:tcPr>
            <w:tcW w:w="1961" w:type="dxa"/>
            <w:vMerge w:val="restart"/>
          </w:tcPr>
          <w:p w:rsidR="001A1749" w:rsidRPr="00A97B32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  <w:r w:rsidRPr="00A97B32">
              <w:rPr>
                <w:rFonts w:ascii="Bookman Old Style" w:hAnsi="Bookman Old Style"/>
                <w:b/>
                <w:sz w:val="20"/>
                <w:lang w:val="uk-UA"/>
              </w:rPr>
              <w:t>Види заходів процесуального примусу</w:t>
            </w:r>
          </w:p>
        </w:tc>
        <w:tc>
          <w:tcPr>
            <w:tcW w:w="5978" w:type="dxa"/>
            <w:gridSpan w:val="3"/>
          </w:tcPr>
          <w:p w:rsidR="001A1749" w:rsidRPr="00C90BFE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>Було</w:t>
            </w:r>
          </w:p>
        </w:tc>
        <w:tc>
          <w:tcPr>
            <w:tcW w:w="7105" w:type="dxa"/>
            <w:gridSpan w:val="5"/>
          </w:tcPr>
          <w:p w:rsidR="001A1749" w:rsidRPr="00C90BFE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>Стало</w:t>
            </w:r>
          </w:p>
        </w:tc>
      </w:tr>
      <w:tr w:rsidR="001A1749" w:rsidRPr="00E3559C" w:rsidTr="001A1749">
        <w:tblPrEx>
          <w:tblLook w:val="04A0"/>
        </w:tblPrEx>
        <w:trPr>
          <w:trHeight w:val="213"/>
        </w:trPr>
        <w:tc>
          <w:tcPr>
            <w:tcW w:w="1961" w:type="dxa"/>
            <w:vMerge/>
          </w:tcPr>
          <w:p w:rsidR="001A1749" w:rsidRPr="00A97B32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</w:p>
        </w:tc>
        <w:tc>
          <w:tcPr>
            <w:tcW w:w="1833" w:type="dxa"/>
          </w:tcPr>
          <w:p w:rsidR="001A1749" w:rsidRPr="00C90BFE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>ГПК</w:t>
            </w:r>
          </w:p>
        </w:tc>
        <w:tc>
          <w:tcPr>
            <w:tcW w:w="4145" w:type="dxa"/>
            <w:gridSpan w:val="2"/>
          </w:tcPr>
          <w:p w:rsidR="001A1749" w:rsidRPr="00C90BFE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>ЦПК та КАСУ</w:t>
            </w:r>
          </w:p>
        </w:tc>
        <w:tc>
          <w:tcPr>
            <w:tcW w:w="3067" w:type="dxa"/>
            <w:gridSpan w:val="2"/>
          </w:tcPr>
          <w:p w:rsidR="001A1749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 xml:space="preserve">ГПК  </w:t>
            </w:r>
          </w:p>
        </w:tc>
        <w:tc>
          <w:tcPr>
            <w:tcW w:w="4038" w:type="dxa"/>
            <w:gridSpan w:val="3"/>
          </w:tcPr>
          <w:p w:rsidR="001A1749" w:rsidRDefault="001A1749" w:rsidP="001A1749">
            <w:pPr>
              <w:pStyle w:val="rvps2"/>
              <w:shd w:val="clear" w:color="auto" w:fill="FFFFFF"/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  <w:lang w:val="uk-UA"/>
              </w:rPr>
              <w:t>ЦПК та КАСУ</w:t>
            </w:r>
          </w:p>
        </w:tc>
      </w:tr>
      <w:tr w:rsidR="001A1749" w:rsidRPr="00E3559C" w:rsidTr="001A1749">
        <w:tblPrEx>
          <w:tblLook w:val="04A0"/>
        </w:tblPrEx>
        <w:trPr>
          <w:trHeight w:val="1147"/>
        </w:trPr>
        <w:tc>
          <w:tcPr>
            <w:tcW w:w="1961" w:type="dxa"/>
            <w:vMerge/>
          </w:tcPr>
          <w:p w:rsidR="001A1749" w:rsidRPr="00A97B32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</w:p>
        </w:tc>
        <w:tc>
          <w:tcPr>
            <w:tcW w:w="1833" w:type="dxa"/>
          </w:tcPr>
          <w:p w:rsidR="001A1749" w:rsidRPr="001A1749" w:rsidRDefault="001A1749" w:rsidP="001A1749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Не було передбачено</w:t>
            </w:r>
          </w:p>
        </w:tc>
        <w:tc>
          <w:tcPr>
            <w:tcW w:w="4145" w:type="dxa"/>
            <w:gridSpan w:val="2"/>
          </w:tcPr>
          <w:p w:rsidR="001A1749" w:rsidRPr="001A1749" w:rsidRDefault="001A1749" w:rsidP="001A1749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попередження;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видалення із залу судового засідання;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тимчасове вилучення доказів для дослідження судом;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п</w:t>
            </w:r>
            <w:bookmarkStart w:id="0" w:name="_GoBack"/>
            <w:bookmarkEnd w:id="0"/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ривід.</w:t>
            </w:r>
          </w:p>
        </w:tc>
        <w:tc>
          <w:tcPr>
            <w:tcW w:w="3080" w:type="dxa"/>
            <w:gridSpan w:val="3"/>
          </w:tcPr>
          <w:p w:rsidR="001A1749" w:rsidRPr="00DC0548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</w:pPr>
            <w:r w:rsidRPr="00DC0548"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  <w:t>попередження;</w:t>
            </w:r>
          </w:p>
          <w:p w:rsidR="001A1749" w:rsidRPr="00DC0548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</w:pPr>
            <w:r w:rsidRPr="00DC0548"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  <w:t>видалення із залу судового засідання;</w:t>
            </w:r>
          </w:p>
          <w:p w:rsidR="001A1749" w:rsidRPr="00DC0548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</w:pPr>
            <w:r w:rsidRPr="00DC0548">
              <w:rPr>
                <w:rFonts w:ascii="Bookman Old Style" w:hAnsi="Bookman Old Style"/>
                <w:i/>
                <w:color w:val="000000"/>
                <w:sz w:val="20"/>
                <w:szCs w:val="22"/>
                <w:lang w:val="uk-UA"/>
              </w:rPr>
              <w:t>тимчасове вилучення доказів для дослідження судом;</w:t>
            </w:r>
          </w:p>
          <w:p w:rsidR="001A1749" w:rsidRPr="00DC0548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2"/>
                <w:u w:val="single"/>
                <w:lang w:val="uk-UA"/>
              </w:rPr>
            </w:pPr>
            <w:r w:rsidRPr="00DC0548">
              <w:rPr>
                <w:rFonts w:ascii="Bookman Old Style" w:hAnsi="Bookman Old Style"/>
                <w:b/>
                <w:i/>
                <w:color w:val="000000"/>
                <w:sz w:val="20"/>
                <w:szCs w:val="22"/>
                <w:u w:val="single"/>
                <w:lang w:val="uk-UA"/>
              </w:rPr>
              <w:t>штраф.</w:t>
            </w:r>
          </w:p>
        </w:tc>
        <w:tc>
          <w:tcPr>
            <w:tcW w:w="4025" w:type="dxa"/>
            <w:gridSpan w:val="2"/>
          </w:tcPr>
          <w:p w:rsidR="001A1749" w:rsidRPr="001A1749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попередження;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видалення із залу судового засідання;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тимчасове вилучення доказів для дослідження судом;</w:t>
            </w:r>
          </w:p>
          <w:p w:rsidR="001A1749" w:rsidRPr="001A1749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1A1749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привід;</w:t>
            </w:r>
          </w:p>
          <w:p w:rsidR="001A1749" w:rsidRPr="00DC0548" w:rsidRDefault="001A1749" w:rsidP="001A1749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2"/>
                <w:u w:val="single"/>
                <w:lang w:val="uk-UA"/>
              </w:rPr>
            </w:pPr>
            <w:r w:rsidRPr="00DC0548">
              <w:rPr>
                <w:rFonts w:ascii="Bookman Old Style" w:hAnsi="Bookman Old Style"/>
                <w:b/>
                <w:i/>
                <w:color w:val="000000"/>
                <w:sz w:val="20"/>
                <w:szCs w:val="22"/>
                <w:u w:val="single"/>
                <w:lang w:val="uk-UA"/>
              </w:rPr>
              <w:t>штраф.</w:t>
            </w:r>
          </w:p>
        </w:tc>
      </w:tr>
      <w:tr w:rsidR="001A1749" w:rsidRPr="00365500" w:rsidTr="001A1749">
        <w:tblPrEx>
          <w:tblLook w:val="04A0"/>
        </w:tblPrEx>
        <w:trPr>
          <w:trHeight w:val="388"/>
        </w:trPr>
        <w:tc>
          <w:tcPr>
            <w:tcW w:w="1961" w:type="dxa"/>
          </w:tcPr>
          <w:p w:rsidR="001A1749" w:rsidRPr="00365500" w:rsidRDefault="00DC0548" w:rsidP="001A1749">
            <w:pPr>
              <w:jc w:val="center"/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</w:pPr>
            <w:r w:rsidRPr="00365500"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  <w:t>Підстави застосування штрафних санкцій</w:t>
            </w:r>
          </w:p>
        </w:tc>
        <w:tc>
          <w:tcPr>
            <w:tcW w:w="13083" w:type="dxa"/>
            <w:gridSpan w:val="8"/>
          </w:tcPr>
          <w:p w:rsidR="001A1749" w:rsidRPr="00DC0548" w:rsidRDefault="001A1749" w:rsidP="001A1749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невиконання процесуальних обов’язків, зокрема ухилення від вчинення дій, покладених законом чи судом на учасника судового процесу;</w:t>
            </w:r>
          </w:p>
          <w:p w:rsidR="001A1749" w:rsidRPr="00DC0548" w:rsidRDefault="001A1749" w:rsidP="001A1749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bookmarkStart w:id="1" w:name="n2482"/>
            <w:bookmarkEnd w:id="1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зловживання процесуальними правами, вчинення дій або допущення бездіяльності з метою перешкоджання судочинству;</w:t>
            </w:r>
            <w:bookmarkStart w:id="2" w:name="n2483"/>
            <w:bookmarkStart w:id="3" w:name="n2485"/>
            <w:bookmarkEnd w:id="2"/>
            <w:bookmarkEnd w:id="3"/>
          </w:p>
          <w:p w:rsidR="001A1749" w:rsidRPr="00DC0548" w:rsidRDefault="001A1749" w:rsidP="001A1749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</w:pPr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 xml:space="preserve">використання під час процедури врегулювання спору за участю судді портативних, </w:t>
            </w:r>
            <w:proofErr w:type="spellStart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аудіотехнічних</w:t>
            </w:r>
            <w:proofErr w:type="spellEnd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 xml:space="preserve"> пристроїв, а також здійснення </w:t>
            </w:r>
            <w:proofErr w:type="spellStart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фото-</w:t>
            </w:r>
            <w:proofErr w:type="spellEnd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 xml:space="preserve"> і кінозйомки, </w:t>
            </w:r>
            <w:proofErr w:type="spellStart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відео-</w:t>
            </w:r>
            <w:proofErr w:type="spellEnd"/>
            <w:r w:rsidRPr="00DC0548">
              <w:rPr>
                <w:rFonts w:ascii="Bookman Old Style" w:hAnsi="Bookman Old Style"/>
                <w:color w:val="000000"/>
                <w:sz w:val="20"/>
                <w:szCs w:val="22"/>
                <w:lang w:val="uk-UA"/>
              </w:rPr>
              <w:t>, звукозапису.</w:t>
            </w:r>
          </w:p>
        </w:tc>
      </w:tr>
      <w:tr w:rsidR="001A1749" w:rsidRPr="00E8454C" w:rsidTr="001A1749">
        <w:tblPrEx>
          <w:tblLook w:val="04A0"/>
        </w:tblPrEx>
        <w:trPr>
          <w:trHeight w:val="275"/>
        </w:trPr>
        <w:tc>
          <w:tcPr>
            <w:tcW w:w="1961" w:type="dxa"/>
            <w:vMerge w:val="restart"/>
          </w:tcPr>
          <w:p w:rsidR="001A1749" w:rsidRPr="00365500" w:rsidRDefault="001A1749" w:rsidP="001A1749">
            <w:pPr>
              <w:jc w:val="center"/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</w:pPr>
            <w:r w:rsidRPr="00365500"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  <w:t>Розмір штрафних санкцій</w:t>
            </w:r>
          </w:p>
        </w:tc>
        <w:tc>
          <w:tcPr>
            <w:tcW w:w="5342" w:type="dxa"/>
            <w:gridSpan w:val="2"/>
          </w:tcPr>
          <w:p w:rsidR="001A1749" w:rsidRPr="003643A9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ЦПК</w:t>
            </w:r>
          </w:p>
        </w:tc>
        <w:tc>
          <w:tcPr>
            <w:tcW w:w="4145" w:type="dxa"/>
            <w:gridSpan w:val="5"/>
          </w:tcPr>
          <w:p w:rsidR="001A1749" w:rsidRPr="003643A9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</w:p>
        </w:tc>
        <w:tc>
          <w:tcPr>
            <w:tcW w:w="3596" w:type="dxa"/>
          </w:tcPr>
          <w:p w:rsidR="001A1749" w:rsidRPr="003643A9" w:rsidRDefault="001A1749" w:rsidP="001A1749">
            <w:pPr>
              <w:jc w:val="center"/>
              <w:rPr>
                <w:rFonts w:ascii="Bookman Old Style" w:hAnsi="Bookman Old Style"/>
                <w:b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ГПК</w:t>
            </w:r>
          </w:p>
        </w:tc>
      </w:tr>
      <w:tr w:rsidR="001A1749" w:rsidRPr="00E8454C" w:rsidTr="001A1749">
        <w:tblPrEx>
          <w:tblLook w:val="04A0"/>
        </w:tblPrEx>
        <w:trPr>
          <w:trHeight w:val="1861"/>
        </w:trPr>
        <w:tc>
          <w:tcPr>
            <w:tcW w:w="1961" w:type="dxa"/>
            <w:vMerge/>
          </w:tcPr>
          <w:p w:rsidR="001A1749" w:rsidRPr="00365500" w:rsidRDefault="001A1749" w:rsidP="001A1749">
            <w:pPr>
              <w:jc w:val="center"/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</w:pPr>
          </w:p>
        </w:tc>
        <w:tc>
          <w:tcPr>
            <w:tcW w:w="5342" w:type="dxa"/>
            <w:gridSpan w:val="2"/>
          </w:tcPr>
          <w:p w:rsidR="001A1749" w:rsidRPr="003643A9" w:rsidRDefault="001A1749" w:rsidP="001A174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0.3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3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розмірів </w:t>
            </w:r>
            <w:proofErr w:type="spellStart"/>
            <w:r w:rsidRPr="003643A9">
              <w:rPr>
                <w:rFonts w:ascii="Bookman Old Style" w:hAnsi="Bookman Old Style"/>
                <w:sz w:val="20"/>
                <w:lang w:val="uk-UA"/>
              </w:rPr>
              <w:t>розмірів</w:t>
            </w:r>
            <w:proofErr w:type="spellEnd"/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прожиткового мінімуму для працездатних осіб</w:t>
            </w:r>
          </w:p>
          <w:p w:rsidR="001A1749" w:rsidRDefault="001A1749" w:rsidP="001A174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У випадку неодноразового чи систематичного порушення - 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1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10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розмірів прожиткового мінімуму для працездатних осіб</w:t>
            </w:r>
          </w:p>
        </w:tc>
        <w:tc>
          <w:tcPr>
            <w:tcW w:w="3649" w:type="dxa"/>
            <w:gridSpan w:val="2"/>
          </w:tcPr>
          <w:p w:rsidR="001A1749" w:rsidRPr="003643A9" w:rsidRDefault="001A1749" w:rsidP="001A174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1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 xml:space="preserve">10 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розмірів </w:t>
            </w:r>
            <w:proofErr w:type="spellStart"/>
            <w:r w:rsidRPr="003643A9">
              <w:rPr>
                <w:rFonts w:ascii="Bookman Old Style" w:hAnsi="Bookman Old Style"/>
                <w:sz w:val="20"/>
                <w:lang w:val="uk-UA"/>
              </w:rPr>
              <w:t>розмірів</w:t>
            </w:r>
            <w:proofErr w:type="spellEnd"/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прожиткового мінімуму для працездатних осіб</w:t>
            </w:r>
          </w:p>
          <w:p w:rsidR="001A1749" w:rsidRPr="003643A9" w:rsidRDefault="001A1749" w:rsidP="001A174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У випадку неодноразового чи систематичного порушення - 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5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50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розмірів прожиткового мінімуму для працездатних осіб</w:t>
            </w:r>
          </w:p>
        </w:tc>
        <w:tc>
          <w:tcPr>
            <w:tcW w:w="4092" w:type="dxa"/>
            <w:gridSpan w:val="4"/>
          </w:tcPr>
          <w:p w:rsidR="001A1749" w:rsidRPr="003643A9" w:rsidRDefault="001A1749" w:rsidP="001A174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 xml:space="preserve">0.3 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3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розмірів </w:t>
            </w:r>
            <w:proofErr w:type="spellStart"/>
            <w:r w:rsidRPr="003643A9">
              <w:rPr>
                <w:rFonts w:ascii="Bookman Old Style" w:hAnsi="Bookman Old Style"/>
                <w:sz w:val="20"/>
                <w:lang w:val="uk-UA"/>
              </w:rPr>
              <w:t>розмірів</w:t>
            </w:r>
            <w:proofErr w:type="spellEnd"/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прожиткового мінімуму для працездатних осіб</w:t>
            </w:r>
          </w:p>
          <w:p w:rsidR="001A1749" w:rsidRDefault="001A1749" w:rsidP="001A174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У випадку неодноразового чи систематичного порушення - від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1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до </w:t>
            </w:r>
            <w:r w:rsidRPr="003643A9">
              <w:rPr>
                <w:rFonts w:ascii="Bookman Old Style" w:hAnsi="Bookman Old Style"/>
                <w:b/>
                <w:sz w:val="20"/>
                <w:lang w:val="uk-UA"/>
              </w:rPr>
              <w:t>10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 xml:space="preserve"> розмірів прожиткового мінімуму для працездатних осіб</w:t>
            </w:r>
          </w:p>
        </w:tc>
      </w:tr>
      <w:tr w:rsidR="001A1749" w:rsidRPr="00E8454C" w:rsidTr="001A1749">
        <w:tblPrEx>
          <w:tblLook w:val="04A0"/>
        </w:tblPrEx>
        <w:trPr>
          <w:trHeight w:val="513"/>
        </w:trPr>
        <w:tc>
          <w:tcPr>
            <w:tcW w:w="1961" w:type="dxa"/>
          </w:tcPr>
          <w:p w:rsidR="001A1749" w:rsidRPr="00365500" w:rsidRDefault="001A1749" w:rsidP="001A1749">
            <w:pPr>
              <w:jc w:val="center"/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</w:pPr>
            <w:r w:rsidRPr="00365500">
              <w:rPr>
                <w:rFonts w:ascii="Bookman Old Style" w:hAnsi="Bookman Old Style"/>
                <w:b/>
                <w:i/>
                <w:sz w:val="20"/>
                <w:u w:val="single"/>
                <w:lang w:val="uk-UA"/>
              </w:rPr>
              <w:t>Оскарження ухвали про стягнення штрафу</w:t>
            </w:r>
          </w:p>
        </w:tc>
        <w:tc>
          <w:tcPr>
            <w:tcW w:w="13083" w:type="dxa"/>
            <w:gridSpan w:val="8"/>
          </w:tcPr>
          <w:p w:rsidR="001A1749" w:rsidRPr="003643A9" w:rsidRDefault="001A1749" w:rsidP="001A174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 w:rsidRPr="003643A9">
              <w:rPr>
                <w:rFonts w:ascii="Bookman Old Style" w:hAnsi="Bookman Old Style"/>
                <w:sz w:val="20"/>
                <w:lang w:val="uk-UA"/>
              </w:rPr>
              <w:t>в апеляційному порядку до суду вищої інстанції.</w:t>
            </w:r>
          </w:p>
          <w:p w:rsidR="001A1749" w:rsidRPr="003643A9" w:rsidRDefault="001A1749" w:rsidP="001A174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>
              <w:rPr>
                <w:rFonts w:ascii="Bookman Old Style" w:hAnsi="Bookman Old Style"/>
                <w:sz w:val="20"/>
                <w:lang w:val="uk-UA"/>
              </w:rPr>
              <w:t>о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>скарження такої ухвали не перешкоджає розгляду справи.</w:t>
            </w:r>
          </w:p>
          <w:p w:rsidR="001A1749" w:rsidRPr="003643A9" w:rsidRDefault="001A1749" w:rsidP="001A174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>
              <w:rPr>
                <w:rFonts w:ascii="Bookman Old Style" w:hAnsi="Bookman Old Style"/>
                <w:sz w:val="20"/>
                <w:lang w:val="uk-UA"/>
              </w:rPr>
              <w:t>п</w:t>
            </w:r>
            <w:r w:rsidRPr="003643A9">
              <w:rPr>
                <w:rFonts w:ascii="Bookman Old Style" w:hAnsi="Bookman Old Style"/>
                <w:sz w:val="20"/>
                <w:lang w:val="uk-UA"/>
              </w:rPr>
              <w:t>останова суду апеляційної інстанції за результатами перегляду ухвали про накладення штрафу є остаточною і оскарженню не підлягає.</w:t>
            </w:r>
          </w:p>
          <w:p w:rsidR="001A1749" w:rsidRPr="003643A9" w:rsidRDefault="001A1749" w:rsidP="001A174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Bookman Old Style" w:hAnsi="Bookman Old Style"/>
                <w:sz w:val="20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uk-UA"/>
              </w:rPr>
              <w:t>у</w:t>
            </w:r>
            <w:r w:rsidRPr="003643A9">
              <w:rPr>
                <w:rFonts w:ascii="Bookman Old Style" w:hAnsi="Bookman Old Style"/>
                <w:color w:val="000000"/>
                <w:sz w:val="20"/>
              </w:rPr>
              <w:t xml:space="preserve">хвала Верховного Суду про </w:t>
            </w:r>
            <w:proofErr w:type="spellStart"/>
            <w:r w:rsidRPr="003643A9">
              <w:rPr>
                <w:rFonts w:ascii="Bookman Old Style" w:hAnsi="Bookman Old Style"/>
                <w:color w:val="000000"/>
                <w:sz w:val="20"/>
              </w:rPr>
              <w:t>стягнення</w:t>
            </w:r>
            <w:proofErr w:type="spellEnd"/>
            <w:r w:rsidRPr="003643A9">
              <w:rPr>
                <w:rFonts w:ascii="Bookman Old Style" w:hAnsi="Bookman Old Style"/>
                <w:color w:val="000000"/>
                <w:sz w:val="20"/>
              </w:rPr>
              <w:t xml:space="preserve"> штрафу </w:t>
            </w:r>
            <w:proofErr w:type="spellStart"/>
            <w:r w:rsidRPr="003643A9">
              <w:rPr>
                <w:rFonts w:ascii="Bookman Old Style" w:hAnsi="Bookman Old Style"/>
                <w:color w:val="000000"/>
                <w:sz w:val="20"/>
              </w:rPr>
              <w:t>оскарженню</w:t>
            </w:r>
            <w:proofErr w:type="spellEnd"/>
            <w:r w:rsidRPr="003643A9">
              <w:rPr>
                <w:rFonts w:ascii="Bookman Old Style" w:hAnsi="Bookman Old Style"/>
                <w:color w:val="000000"/>
                <w:sz w:val="20"/>
              </w:rPr>
              <w:t xml:space="preserve"> не </w:t>
            </w:r>
            <w:proofErr w:type="spellStart"/>
            <w:r w:rsidRPr="003643A9">
              <w:rPr>
                <w:rFonts w:ascii="Bookman Old Style" w:hAnsi="Bookman Old Style"/>
                <w:color w:val="000000"/>
                <w:sz w:val="20"/>
              </w:rPr>
              <w:t>підлягає</w:t>
            </w:r>
            <w:proofErr w:type="spellEnd"/>
            <w:r w:rsidRPr="003643A9">
              <w:rPr>
                <w:rFonts w:ascii="Bookman Old Style" w:hAnsi="Bookman Old Style"/>
                <w:color w:val="000000"/>
                <w:sz w:val="20"/>
              </w:rPr>
              <w:t>.</w:t>
            </w:r>
          </w:p>
        </w:tc>
      </w:tr>
    </w:tbl>
    <w:p w:rsidR="001A1749" w:rsidRDefault="001A1749" w:rsidP="001A1749">
      <w:pPr>
        <w:spacing w:after="0" w:line="240" w:lineRule="auto"/>
        <w:rPr>
          <w:rFonts w:ascii="Bookman Old Style" w:hAnsi="Bookman Old Style"/>
          <w:sz w:val="20"/>
          <w:lang w:val="uk-UA"/>
        </w:rPr>
      </w:pPr>
    </w:p>
    <w:p w:rsidR="001A1749" w:rsidRPr="001A1749" w:rsidRDefault="001A1749" w:rsidP="001A1749">
      <w:pPr>
        <w:rPr>
          <w:rFonts w:ascii="Bookman Old Style" w:hAnsi="Bookman Old Style"/>
          <w:sz w:val="20"/>
          <w:lang w:val="uk-UA"/>
        </w:rPr>
      </w:pPr>
    </w:p>
    <w:p w:rsidR="001A1749" w:rsidRPr="005A3A54" w:rsidRDefault="001A1749" w:rsidP="001A1749">
      <w:p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7062F">
        <w:rPr>
          <w:rFonts w:ascii="Bookman Old Style" w:hAnsi="Bookman Old Style"/>
          <w:sz w:val="20"/>
          <w:szCs w:val="20"/>
          <w:u w:val="single"/>
          <w:lang w:val="uk-UA"/>
        </w:rPr>
        <w:t>Ч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-  не було в ЦПК; 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>К – не було в ГПК;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sz w:val="20"/>
          <w:szCs w:val="20"/>
          <w:lang w:val="uk-UA"/>
        </w:rPr>
        <w:t>Ж – не було в КАСУ;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КЧЖ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 xml:space="preserve"> –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абсолютна новела</w:t>
      </w:r>
      <w:r w:rsidR="00DC0548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.</w:t>
      </w:r>
    </w:p>
    <w:sectPr w:rsidR="001A1749" w:rsidRPr="005A3A54" w:rsidSect="006C354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9F" w:rsidRDefault="009C3B9F" w:rsidP="006C3541">
      <w:pPr>
        <w:spacing w:after="0" w:line="240" w:lineRule="auto"/>
      </w:pPr>
      <w:r>
        <w:separator/>
      </w:r>
    </w:p>
  </w:endnote>
  <w:endnote w:type="continuationSeparator" w:id="0">
    <w:p w:rsidR="009C3B9F" w:rsidRDefault="009C3B9F" w:rsidP="006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9F" w:rsidRDefault="009C3B9F" w:rsidP="006C3541">
      <w:pPr>
        <w:spacing w:after="0" w:line="240" w:lineRule="auto"/>
      </w:pPr>
      <w:r>
        <w:separator/>
      </w:r>
    </w:p>
  </w:footnote>
  <w:footnote w:type="continuationSeparator" w:id="0">
    <w:p w:rsidR="009C3B9F" w:rsidRDefault="009C3B9F" w:rsidP="006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Pr="006C3541" w:rsidRDefault="006C3541" w:rsidP="009E445F">
    <w:pPr>
      <w:pStyle w:val="a5"/>
      <w:jc w:val="right"/>
      <w:rPr>
        <w:rFonts w:ascii="Bookman Old Style" w:hAnsi="Bookman Old Style"/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в таблицях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D9"/>
    <w:multiLevelType w:val="hybridMultilevel"/>
    <w:tmpl w:val="EBB4FD5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D01"/>
    <w:multiLevelType w:val="hybridMultilevel"/>
    <w:tmpl w:val="712A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53C5"/>
    <w:multiLevelType w:val="hybridMultilevel"/>
    <w:tmpl w:val="F2D4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60D4"/>
    <w:multiLevelType w:val="hybridMultilevel"/>
    <w:tmpl w:val="CE729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60C"/>
    <w:multiLevelType w:val="hybridMultilevel"/>
    <w:tmpl w:val="3C32C0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AB7"/>
    <w:multiLevelType w:val="hybridMultilevel"/>
    <w:tmpl w:val="D32A8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0F6F"/>
    <w:multiLevelType w:val="hybridMultilevel"/>
    <w:tmpl w:val="EF60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57AE"/>
    <w:multiLevelType w:val="hybridMultilevel"/>
    <w:tmpl w:val="E0D0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53A8"/>
    <w:multiLevelType w:val="hybridMultilevel"/>
    <w:tmpl w:val="425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3F84"/>
    <w:multiLevelType w:val="hybridMultilevel"/>
    <w:tmpl w:val="C2525646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E0EA0"/>
    <w:multiLevelType w:val="hybridMultilevel"/>
    <w:tmpl w:val="7788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F094D"/>
    <w:multiLevelType w:val="hybridMultilevel"/>
    <w:tmpl w:val="7C065ED4"/>
    <w:lvl w:ilvl="0" w:tplc="7786DD98">
      <w:start w:val="1"/>
      <w:numFmt w:val="decimal"/>
      <w:lvlText w:val="%1)"/>
      <w:lvlJc w:val="left"/>
      <w:pPr>
        <w:ind w:left="1211" w:hanging="360"/>
      </w:pPr>
      <w:rPr>
        <w:rFonts w:ascii="Bookman Old Style" w:hAnsi="Bookman Old Style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12">
    <w:nsid w:val="497609B2"/>
    <w:multiLevelType w:val="hybridMultilevel"/>
    <w:tmpl w:val="3C5E35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4E0"/>
    <w:multiLevelType w:val="hybridMultilevel"/>
    <w:tmpl w:val="7AE2C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C3C69"/>
    <w:multiLevelType w:val="hybridMultilevel"/>
    <w:tmpl w:val="9C92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B0E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34B3E"/>
    <w:multiLevelType w:val="hybridMultilevel"/>
    <w:tmpl w:val="C2F0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3BAA"/>
    <w:multiLevelType w:val="hybridMultilevel"/>
    <w:tmpl w:val="32646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593AE3"/>
    <w:multiLevelType w:val="hybridMultilevel"/>
    <w:tmpl w:val="980C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8"/>
  </w:num>
  <w:num w:numId="8">
    <w:abstractNumId w:val="6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E0"/>
    <w:rsid w:val="00096F44"/>
    <w:rsid w:val="001A1749"/>
    <w:rsid w:val="001A6FB7"/>
    <w:rsid w:val="00252819"/>
    <w:rsid w:val="00257D29"/>
    <w:rsid w:val="0028628F"/>
    <w:rsid w:val="002C4B5B"/>
    <w:rsid w:val="003643A9"/>
    <w:rsid w:val="00365500"/>
    <w:rsid w:val="00451FCF"/>
    <w:rsid w:val="004E7465"/>
    <w:rsid w:val="00571FCF"/>
    <w:rsid w:val="005E5690"/>
    <w:rsid w:val="006C3541"/>
    <w:rsid w:val="00717E17"/>
    <w:rsid w:val="007D509D"/>
    <w:rsid w:val="007F673E"/>
    <w:rsid w:val="00844C52"/>
    <w:rsid w:val="00907508"/>
    <w:rsid w:val="009C3B9F"/>
    <w:rsid w:val="009E445F"/>
    <w:rsid w:val="00A34D54"/>
    <w:rsid w:val="00A50AF2"/>
    <w:rsid w:val="00A97B32"/>
    <w:rsid w:val="00AB6FB4"/>
    <w:rsid w:val="00AD253F"/>
    <w:rsid w:val="00B97412"/>
    <w:rsid w:val="00BD7AB9"/>
    <w:rsid w:val="00C90BFE"/>
    <w:rsid w:val="00DC0548"/>
    <w:rsid w:val="00DF6988"/>
    <w:rsid w:val="00E21E7E"/>
    <w:rsid w:val="00E3559C"/>
    <w:rsid w:val="00E8454C"/>
    <w:rsid w:val="00E863DC"/>
    <w:rsid w:val="00ED39F6"/>
    <w:rsid w:val="00EE5016"/>
    <w:rsid w:val="00F034A7"/>
    <w:rsid w:val="00FC2F8A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E0"/>
    <w:pPr>
      <w:ind w:left="720"/>
      <w:contextualSpacing/>
    </w:pPr>
  </w:style>
  <w:style w:type="table" w:styleId="a4">
    <w:name w:val="Table Grid"/>
    <w:basedOn w:val="a1"/>
    <w:uiPriority w:val="59"/>
    <w:rsid w:val="00FE0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E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5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541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8454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BD7A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7A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7AB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A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AB9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7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1772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Evgeniy</cp:lastModifiedBy>
  <cp:revision>6</cp:revision>
  <dcterms:created xsi:type="dcterms:W3CDTF">2018-01-09T14:07:00Z</dcterms:created>
  <dcterms:modified xsi:type="dcterms:W3CDTF">2018-01-29T12:14:00Z</dcterms:modified>
</cp:coreProperties>
</file>